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9D029C1" w:rsidR="00C63555" w:rsidRPr="007460C7" w:rsidRDefault="00275E77" w:rsidP="00C63555">
      <w:pPr>
        <w:pStyle w:val="Kop1"/>
        <w:rPr>
          <w:lang w:val="en-US"/>
        </w:rPr>
      </w:pPr>
      <w:r>
        <w:rPr>
          <w:lang w:val="en-US"/>
        </w:rPr>
        <w:t>Louvre wall system</w:t>
      </w:r>
      <w:r w:rsidR="007460C7">
        <w:rPr>
          <w:lang w:val="en-US"/>
        </w:rPr>
        <w:br/>
        <w:t>D</w:t>
      </w:r>
      <w:r w:rsidR="00C63555" w:rsidRPr="007460C7">
        <w:rPr>
          <w:lang w:val="en-US"/>
        </w:rPr>
        <w:t>UCO Ventilation &amp; Sun Control</w:t>
      </w:r>
      <w:r w:rsidR="001D6DEB" w:rsidRPr="007460C7">
        <w:rPr>
          <w:lang w:val="en-US"/>
        </w:rPr>
        <w:br/>
      </w:r>
      <w:proofErr w:type="spellStart"/>
      <w:r w:rsidR="00C63555" w:rsidRPr="007460C7">
        <w:rPr>
          <w:lang w:val="en-US"/>
        </w:rPr>
        <w:t>Duco</w:t>
      </w:r>
      <w:r w:rsidR="007460C7">
        <w:rPr>
          <w:lang w:val="en-US"/>
        </w:rPr>
        <w:t>Wall</w:t>
      </w:r>
      <w:proofErr w:type="spellEnd"/>
      <w:r w:rsidR="007460C7">
        <w:rPr>
          <w:lang w:val="en-US"/>
        </w:rPr>
        <w:t xml:space="preserve"> Screening Acoustic</w:t>
      </w:r>
    </w:p>
    <w:p w14:paraId="2349B33C" w14:textId="32C41C65" w:rsidR="00C63555" w:rsidRPr="00275E77" w:rsidRDefault="00275E77" w:rsidP="00C63555">
      <w:pPr>
        <w:pStyle w:val="Kop2"/>
        <w:rPr>
          <w:lang w:val="en-US"/>
        </w:rPr>
      </w:pPr>
      <w:r w:rsidRPr="00275E77">
        <w:rPr>
          <w:lang w:val="en-US"/>
        </w:rPr>
        <w:t>Description</w:t>
      </w:r>
    </w:p>
    <w:p w14:paraId="742B57F0" w14:textId="12EACFC3" w:rsidR="003B5C75" w:rsidRPr="007C09B8" w:rsidRDefault="00275E77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proofErr w:type="spellStart"/>
      <w:r w:rsidRPr="00275E77">
        <w:rPr>
          <w:rFonts w:ascii="Arial" w:eastAsiaTheme="minorHAnsi" w:hAnsi="Arial" w:cstheme="minorBidi"/>
          <w:shd w:val="clear" w:color="auto" w:fill="FFFFFF"/>
          <w:lang w:val="en-US"/>
        </w:rPr>
        <w:t>DucoWall</w:t>
      </w:r>
      <w:proofErr w:type="spellEnd"/>
      <w:r w:rsidRPr="00275E77">
        <w:rPr>
          <w:rFonts w:ascii="Arial" w:eastAsiaTheme="minorHAnsi" w:hAnsi="Arial" w:cstheme="minorBidi"/>
          <w:shd w:val="clear" w:color="auto" w:fill="FFFFFF"/>
          <w:lang w:val="en-US"/>
        </w:rPr>
        <w:t xml:space="preserve"> Screening Acoustic is a sturdy </w:t>
      </w:r>
      <w:proofErr w:type="spellStart"/>
      <w:r w:rsidRPr="00275E77">
        <w:rPr>
          <w:rFonts w:ascii="Arial" w:eastAsiaTheme="minorHAnsi" w:hAnsi="Arial" w:cstheme="minorBidi"/>
          <w:shd w:val="clear" w:color="auto" w:fill="FFFFFF"/>
          <w:lang w:val="en-US"/>
        </w:rPr>
        <w:t>aluminium</w:t>
      </w:r>
      <w:proofErr w:type="spellEnd"/>
      <w:r w:rsidRPr="00275E77">
        <w:rPr>
          <w:rFonts w:ascii="Arial" w:eastAsiaTheme="minorHAnsi" w:hAnsi="Arial" w:cstheme="minorBidi"/>
          <w:shd w:val="clear" w:color="auto" w:fill="FFFFFF"/>
          <w:lang w:val="en-US"/>
        </w:rPr>
        <w:t xml:space="preserve"> louvre wall system with acoustic damping.</w:t>
      </w:r>
      <w:r>
        <w:rPr>
          <w:rFonts w:ascii="Arial" w:eastAsiaTheme="minorHAnsi" w:hAnsi="Arial" w:cstheme="minorBidi"/>
          <w:shd w:val="clear" w:color="auto" w:fill="FFFFFF"/>
          <w:lang w:val="en-US"/>
        </w:rPr>
        <w:t xml:space="preserve"> </w:t>
      </w:r>
      <w:r w:rsidRPr="00275E77">
        <w:rPr>
          <w:rFonts w:ascii="Arial" w:eastAsiaTheme="minorHAnsi" w:hAnsi="Arial" w:cstheme="minorBidi"/>
          <w:shd w:val="clear" w:color="auto" w:fill="FFFFFF"/>
          <w:lang w:val="en-US"/>
        </w:rPr>
        <w:t>There is a choice between two different louvre blade pitches.</w:t>
      </w:r>
      <w:r>
        <w:rPr>
          <w:rFonts w:ascii="Arial" w:eastAsiaTheme="minorHAnsi" w:hAnsi="Arial" w:cstheme="minorBidi"/>
          <w:shd w:val="clear" w:color="auto" w:fill="FFFFFF"/>
          <w:lang w:val="en-US"/>
        </w:rPr>
        <w:t xml:space="preserve"> </w:t>
      </w:r>
      <w:r w:rsidRPr="00275E77">
        <w:rPr>
          <w:rFonts w:ascii="Arial" w:eastAsiaTheme="minorHAnsi" w:hAnsi="Arial" w:cstheme="minorBidi"/>
          <w:shd w:val="clear" w:color="auto" w:fill="FFFFFF"/>
          <w:lang w:val="en-US"/>
        </w:rPr>
        <w:t>The acoustic damping can be further improved by applying the Double Bank, where an additional blade is clicked on at the back.</w:t>
      </w:r>
      <w:r>
        <w:rPr>
          <w:rFonts w:ascii="Arial" w:eastAsiaTheme="minorHAnsi" w:hAnsi="Arial" w:cstheme="minorBidi"/>
          <w:shd w:val="clear" w:color="auto" w:fill="FFFFFF"/>
          <w:lang w:val="en-US"/>
        </w:rPr>
        <w:t xml:space="preserve"> </w:t>
      </w:r>
      <w:r w:rsidRPr="00275E77">
        <w:rPr>
          <w:rFonts w:ascii="Arial" w:eastAsiaTheme="minorHAnsi" w:hAnsi="Arial" w:cstheme="minorBidi"/>
          <w:shd w:val="clear" w:color="auto" w:fill="FFFFFF"/>
          <w:lang w:val="en-US"/>
        </w:rPr>
        <w:t>In this way, the louvre wall can be adapted to the wishes and needs of any project.</w:t>
      </w:r>
      <w:r w:rsidR="007C09B8">
        <w:rPr>
          <w:rFonts w:ascii="Arial" w:eastAsiaTheme="minorHAnsi" w:hAnsi="Arial" w:cstheme="minorBidi"/>
          <w:shd w:val="clear" w:color="auto" w:fill="FFFFFF"/>
          <w:lang w:val="en-US"/>
        </w:rPr>
        <w:t xml:space="preserve"> </w:t>
      </w:r>
      <w:r w:rsidR="007C09B8" w:rsidRPr="007C09B8">
        <w:rPr>
          <w:rFonts w:ascii="Arial" w:eastAsiaTheme="minorHAnsi" w:hAnsi="Arial" w:cstheme="minorBidi"/>
          <w:shd w:val="clear" w:color="auto" w:fill="FFFFFF"/>
          <w:lang w:val="en-US"/>
        </w:rPr>
        <w:t>Installation is quick, as the blades are placed directly on the mullion.</w:t>
      </w:r>
    </w:p>
    <w:p w14:paraId="563CD3D8" w14:textId="69F78EC0" w:rsidR="00C63555" w:rsidRDefault="007C09B8" w:rsidP="00C63555">
      <w:pPr>
        <w:pStyle w:val="Kop2"/>
      </w:pPr>
      <w:r>
        <w:t>Version</w:t>
      </w:r>
    </w:p>
    <w:p w14:paraId="5F78980B" w14:textId="76765156" w:rsidR="006A026B" w:rsidRPr="006A026B" w:rsidRDefault="007C09B8" w:rsidP="006A026B">
      <w:pPr>
        <w:pStyle w:val="Kop3"/>
      </w:pPr>
      <w:r>
        <w:t>Blade</w:t>
      </w:r>
    </w:p>
    <w:p w14:paraId="548B5E61" w14:textId="10AC4828" w:rsidR="00082990" w:rsidRDefault="008E6ACC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Shape of blade</w:t>
      </w:r>
      <w:r w:rsidR="00C63555" w:rsidRPr="00BE1D47">
        <w:rPr>
          <w:lang w:val="en-US"/>
        </w:rPr>
        <w:tab/>
      </w:r>
      <w:r w:rsidR="00BE1D47" w:rsidRPr="00BE1D47">
        <w:rPr>
          <w:lang w:val="en-US"/>
        </w:rPr>
        <w:t>Single Bank:</w:t>
      </w:r>
      <w:r w:rsidR="00BE1D47" w:rsidRPr="00BE1D47">
        <w:rPr>
          <w:lang w:val="en-US"/>
        </w:rPr>
        <w:tab/>
      </w:r>
      <w:r w:rsidR="00BE1D47" w:rsidRPr="00BE1D47">
        <w:rPr>
          <w:lang w:val="en-US"/>
        </w:rPr>
        <w:tab/>
        <w:t>DWSA 150 Front</w:t>
      </w:r>
    </w:p>
    <w:p w14:paraId="30CF81BF" w14:textId="2C0B9CCE" w:rsidR="00BE1D47" w:rsidRPr="00BE1D47" w:rsidRDefault="00BE1D47" w:rsidP="00082990">
      <w:pPr>
        <w:pStyle w:val="Lijstalinea"/>
        <w:ind w:left="2136" w:firstLine="696"/>
        <w:rPr>
          <w:lang w:val="en-US"/>
        </w:rPr>
      </w:pPr>
      <w:r w:rsidRPr="00BE1D47">
        <w:rPr>
          <w:lang w:val="en-US"/>
        </w:rPr>
        <w:t>Doub</w:t>
      </w:r>
      <w:r>
        <w:rPr>
          <w:lang w:val="en-US"/>
        </w:rPr>
        <w:t>le Bank:</w:t>
      </w:r>
      <w:r>
        <w:rPr>
          <w:lang w:val="en-US"/>
        </w:rPr>
        <w:tab/>
      </w:r>
      <w:r>
        <w:rPr>
          <w:lang w:val="en-US"/>
        </w:rPr>
        <w:tab/>
        <w:t>DWSA 150 Front + DWSA 110 Back</w:t>
      </w:r>
    </w:p>
    <w:p w14:paraId="4EE18A19" w14:textId="4CEEFF6C" w:rsidR="00737B72" w:rsidRDefault="008E6ACC" w:rsidP="00C63555">
      <w:pPr>
        <w:pStyle w:val="Lijstalinea"/>
        <w:numPr>
          <w:ilvl w:val="0"/>
          <w:numId w:val="19"/>
        </w:numPr>
      </w:pPr>
      <w:r>
        <w:t>Pitch</w:t>
      </w:r>
      <w:r w:rsidR="00C63555">
        <w:tab/>
      </w:r>
      <w:r w:rsidR="00C63555">
        <w:tab/>
      </w:r>
      <w:r w:rsidR="00C63555">
        <w:tab/>
      </w:r>
      <w:r w:rsidR="00737B72">
        <w:t>112</w:t>
      </w:r>
      <w:r>
        <w:t>.</w:t>
      </w:r>
      <w:r w:rsidR="00737B72">
        <w:t>5 mm</w:t>
      </w:r>
    </w:p>
    <w:p w14:paraId="45695D31" w14:textId="522B87E3" w:rsidR="00C63555" w:rsidRDefault="00737B72" w:rsidP="00807143">
      <w:pPr>
        <w:pStyle w:val="Lijstalinea"/>
        <w:ind w:left="2136" w:firstLine="696"/>
      </w:pPr>
      <w:r>
        <w:t>150 mm</w:t>
      </w:r>
    </w:p>
    <w:p w14:paraId="6DEAF48C" w14:textId="04695B99" w:rsidR="001618AE" w:rsidRDefault="008E6ACC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height</w:t>
      </w:r>
      <w:proofErr w:type="spellEnd"/>
      <w:r w:rsidR="001618AE">
        <w:tab/>
      </w:r>
      <w:r w:rsidR="001618AE">
        <w:tab/>
        <w:t>192 mm</w:t>
      </w:r>
    </w:p>
    <w:p w14:paraId="7F9E48FB" w14:textId="74F0738D" w:rsidR="001618AE" w:rsidRDefault="008E6ACC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depth</w:t>
      </w:r>
      <w:proofErr w:type="spellEnd"/>
      <w:r w:rsidR="001618AE">
        <w:tab/>
      </w:r>
      <w:r w:rsidR="001618AE">
        <w:tab/>
        <w:t>238 mm</w:t>
      </w:r>
    </w:p>
    <w:p w14:paraId="26BC2019" w14:textId="3C067730" w:rsidR="009D16F0" w:rsidRDefault="008E6ACC" w:rsidP="006A026B">
      <w:pPr>
        <w:pStyle w:val="Kop3"/>
      </w:pPr>
      <w:proofErr w:type="spellStart"/>
      <w:r>
        <w:t>Mullion</w:t>
      </w:r>
      <w:proofErr w:type="spellEnd"/>
    </w:p>
    <w:p w14:paraId="0B80CE3C" w14:textId="390EA55B" w:rsidR="00827759" w:rsidRDefault="008E6ACC" w:rsidP="00827759">
      <w:pPr>
        <w:pStyle w:val="Lijstalinea"/>
        <w:numPr>
          <w:ilvl w:val="0"/>
          <w:numId w:val="22"/>
        </w:numPr>
      </w:pPr>
      <w:proofErr w:type="spellStart"/>
      <w:r>
        <w:t>Mullion</w:t>
      </w:r>
      <w:proofErr w:type="spellEnd"/>
      <w:r w:rsidR="00BD38EC">
        <w:t xml:space="preserve"> 40/21 (</w:t>
      </w:r>
      <w:r>
        <w:t>double</w:t>
      </w:r>
      <w:r w:rsidR="00BD38EC">
        <w:t>)</w:t>
      </w:r>
    </w:p>
    <w:p w14:paraId="3C501587" w14:textId="4B4D6BA1" w:rsidR="00BD38EC" w:rsidRPr="00AB70CA" w:rsidRDefault="00AB70CA" w:rsidP="00827759">
      <w:pPr>
        <w:pStyle w:val="Lijstalinea"/>
        <w:numPr>
          <w:ilvl w:val="1"/>
          <w:numId w:val="22"/>
        </w:numPr>
        <w:rPr>
          <w:lang w:val="en-US"/>
        </w:rPr>
      </w:pPr>
      <w:r w:rsidRPr="00AB70CA">
        <w:rPr>
          <w:lang w:val="en-US"/>
        </w:rPr>
        <w:t>Fixing directly to the underlying structure (without free overhang).</w:t>
      </w:r>
    </w:p>
    <w:p w14:paraId="330B0AE8" w14:textId="170F70DA" w:rsidR="00BD38EC" w:rsidRDefault="008E6ACC" w:rsidP="00BD38EC">
      <w:pPr>
        <w:pStyle w:val="Lijstalinea"/>
        <w:numPr>
          <w:ilvl w:val="0"/>
          <w:numId w:val="22"/>
        </w:numPr>
      </w:pPr>
      <w:proofErr w:type="spellStart"/>
      <w:r>
        <w:t>Mullion</w:t>
      </w:r>
      <w:proofErr w:type="spellEnd"/>
      <w:r w:rsidR="00BD38EC">
        <w:t xml:space="preserve"> 40/</w:t>
      </w:r>
      <w:r w:rsidR="00827759">
        <w:t xml:space="preserve">70 </w:t>
      </w:r>
      <w:r>
        <w:t xml:space="preserve">double </w:t>
      </w:r>
      <w:proofErr w:type="spellStart"/>
      <w:r>
        <w:t>and</w:t>
      </w:r>
      <w:proofErr w:type="spellEnd"/>
      <w:r w:rsidR="00827759">
        <w:t xml:space="preserve"> 40/100 </w:t>
      </w:r>
      <w:r>
        <w:t>double</w:t>
      </w:r>
    </w:p>
    <w:p w14:paraId="41D36ABE" w14:textId="4317B15E" w:rsidR="00827759" w:rsidRPr="00AB70CA" w:rsidRDefault="00AB70CA" w:rsidP="00827759">
      <w:pPr>
        <w:pStyle w:val="Lijstalinea"/>
        <w:numPr>
          <w:ilvl w:val="1"/>
          <w:numId w:val="22"/>
        </w:numPr>
        <w:rPr>
          <w:lang w:val="en-US"/>
        </w:rPr>
      </w:pPr>
      <w:r w:rsidRPr="00AB70CA">
        <w:rPr>
          <w:lang w:val="en-US"/>
        </w:rPr>
        <w:t>Suitable for free overhang, attached to underlying structure with supplied L</w:t>
      </w:r>
      <w:r w:rsidR="001B5254">
        <w:rPr>
          <w:lang w:val="en-US"/>
        </w:rPr>
        <w:noBreakHyphen/>
      </w:r>
      <w:r w:rsidRPr="00AB70CA">
        <w:rPr>
          <w:lang w:val="en-US"/>
        </w:rPr>
        <w:t>profiles.</w:t>
      </w:r>
    </w:p>
    <w:tbl>
      <w:tblPr>
        <w:tblStyle w:val="Tabelraster"/>
        <w:tblW w:w="6804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D6677D" w14:paraId="63FC62B4" w14:textId="77777777" w:rsidTr="00CD5940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7BBE951E" w14:textId="7A0F1FFC" w:rsidR="00BF25C6" w:rsidRDefault="004F4421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Installation </w:t>
            </w:r>
            <w:proofErr w:type="spellStart"/>
            <w:r>
              <w:rPr>
                <w:b/>
                <w:bCs/>
                <w:color w:val="FFFFFF"/>
              </w:rPr>
              <w:t>depth</w:t>
            </w:r>
            <w:proofErr w:type="spellEnd"/>
            <w:r w:rsidR="00BF25C6">
              <w:rPr>
                <w:b/>
                <w:bCs/>
                <w:color w:val="FFFFFF"/>
              </w:rPr>
              <w:t xml:space="preserve"> (mm)</w:t>
            </w:r>
          </w:p>
        </w:tc>
        <w:tc>
          <w:tcPr>
            <w:tcW w:w="2268" w:type="dxa"/>
            <w:shd w:val="clear" w:color="auto" w:fill="43B02A"/>
            <w:vAlign w:val="center"/>
          </w:tcPr>
          <w:p w14:paraId="596BA9EA" w14:textId="45A66A41" w:rsidR="00BF25C6" w:rsidRPr="004863B0" w:rsidRDefault="00BF25C6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</w:p>
        </w:tc>
        <w:tc>
          <w:tcPr>
            <w:tcW w:w="2268" w:type="dxa"/>
            <w:shd w:val="clear" w:color="auto" w:fill="43B02A"/>
            <w:vAlign w:val="center"/>
          </w:tcPr>
          <w:p w14:paraId="12626654" w14:textId="6F4A07E8" w:rsidR="00BF25C6" w:rsidRPr="004863B0" w:rsidRDefault="00BF25C6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</w:p>
        </w:tc>
      </w:tr>
      <w:tr w:rsidR="00CD5940" w14:paraId="4F437422" w14:textId="77777777" w:rsidTr="00CD5940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30C553AF" w14:textId="59838978" w:rsidR="00BF25C6" w:rsidRPr="00C63555" w:rsidRDefault="00BF25C6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40/21 (</w:t>
            </w:r>
            <w:r w:rsidR="004F4421">
              <w:rPr>
                <w:b/>
                <w:bCs/>
                <w:color w:val="FFFFFF"/>
              </w:rPr>
              <w:t>double</w:t>
            </w:r>
            <w:r>
              <w:rPr>
                <w:b/>
                <w:bCs/>
                <w:color w:val="FFFFFF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B2AF9E" w14:textId="418A69E9" w:rsidR="00BF25C6" w:rsidRDefault="00D6677D" w:rsidP="00D6677D">
            <w:pPr>
              <w:pStyle w:val="Lijstalinea"/>
              <w:ind w:left="0"/>
              <w:jc w:val="center"/>
            </w:pPr>
            <w:r>
              <w:t>162</w:t>
            </w:r>
          </w:p>
        </w:tc>
        <w:tc>
          <w:tcPr>
            <w:tcW w:w="2268" w:type="dxa"/>
            <w:vAlign w:val="center"/>
          </w:tcPr>
          <w:p w14:paraId="5407EE07" w14:textId="32BB0D83" w:rsidR="00BF25C6" w:rsidRDefault="00D6677D" w:rsidP="007E77D9">
            <w:pPr>
              <w:pStyle w:val="Lijstalinea"/>
              <w:ind w:left="0"/>
              <w:jc w:val="center"/>
            </w:pPr>
            <w:r>
              <w:t>238</w:t>
            </w:r>
          </w:p>
        </w:tc>
      </w:tr>
      <w:tr w:rsidR="00CD5940" w14:paraId="24129EC8" w14:textId="77777777" w:rsidTr="00CD5940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69CB2446" w14:textId="10FCC1A9" w:rsidR="00BF25C6" w:rsidRPr="00C63555" w:rsidRDefault="00BF25C6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40/70 </w:t>
            </w:r>
            <w:r w:rsidR="004F4421">
              <w:rPr>
                <w:b/>
                <w:bCs/>
                <w:color w:val="FFFFFF"/>
              </w:rPr>
              <w:t>double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8D8AE" w14:textId="4258A308" w:rsidR="00BF25C6" w:rsidRDefault="00D6677D" w:rsidP="007E77D9">
            <w:pPr>
              <w:pStyle w:val="Lijstalinea"/>
              <w:ind w:left="0"/>
              <w:jc w:val="center"/>
            </w:pPr>
            <w:r>
              <w:t>212</w:t>
            </w:r>
          </w:p>
        </w:tc>
        <w:tc>
          <w:tcPr>
            <w:tcW w:w="2268" w:type="dxa"/>
            <w:vAlign w:val="center"/>
          </w:tcPr>
          <w:p w14:paraId="09CD4D14" w14:textId="4A06832B" w:rsidR="00BF25C6" w:rsidRDefault="00D6677D" w:rsidP="007E77D9">
            <w:pPr>
              <w:pStyle w:val="Lijstalinea"/>
              <w:ind w:left="0"/>
              <w:jc w:val="center"/>
            </w:pPr>
            <w:r>
              <w:t>238</w:t>
            </w:r>
          </w:p>
        </w:tc>
      </w:tr>
      <w:tr w:rsidR="00CD5940" w14:paraId="47D44979" w14:textId="77777777" w:rsidTr="00CD5940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6855AD07" w14:textId="180DEB48" w:rsidR="00BF25C6" w:rsidRDefault="00BF25C6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40/100 </w:t>
            </w:r>
            <w:r w:rsidR="004F4421">
              <w:rPr>
                <w:b/>
                <w:bCs/>
                <w:color w:val="FFFFFF"/>
              </w:rPr>
              <w:t>double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C512F" w14:textId="3871281C" w:rsidR="00BF25C6" w:rsidRDefault="00D6677D" w:rsidP="007E77D9">
            <w:pPr>
              <w:pStyle w:val="Lijstalinea"/>
              <w:ind w:left="0"/>
              <w:jc w:val="center"/>
            </w:pPr>
            <w:r>
              <w:t>242</w:t>
            </w:r>
          </w:p>
        </w:tc>
        <w:tc>
          <w:tcPr>
            <w:tcW w:w="2268" w:type="dxa"/>
            <w:vAlign w:val="center"/>
          </w:tcPr>
          <w:p w14:paraId="52635582" w14:textId="4848400B" w:rsidR="00BF25C6" w:rsidRDefault="00D6677D" w:rsidP="007E77D9">
            <w:pPr>
              <w:pStyle w:val="Lijstalinea"/>
              <w:ind w:left="0"/>
              <w:jc w:val="center"/>
            </w:pPr>
            <w:r>
              <w:t>242</w:t>
            </w:r>
          </w:p>
        </w:tc>
      </w:tr>
    </w:tbl>
    <w:p w14:paraId="597C7F3D" w14:textId="0CA328A2" w:rsidR="00C112A3" w:rsidRDefault="00531842" w:rsidP="00C112A3">
      <w:pPr>
        <w:pStyle w:val="Kop3"/>
      </w:pPr>
      <w:proofErr w:type="spellStart"/>
      <w:r>
        <w:t>Accessories</w:t>
      </w:r>
      <w:proofErr w:type="spellEnd"/>
      <w:r w:rsidR="00C112A3">
        <w:t xml:space="preserve"> (+options)</w:t>
      </w:r>
    </w:p>
    <w:p w14:paraId="4EC78B0B" w14:textId="79D9F71D" w:rsidR="00C112A3" w:rsidRPr="00531842" w:rsidRDefault="00531842" w:rsidP="00C112A3">
      <w:pPr>
        <w:pStyle w:val="Lijstalinea"/>
        <w:numPr>
          <w:ilvl w:val="0"/>
          <w:numId w:val="23"/>
        </w:numPr>
        <w:rPr>
          <w:lang w:val="en-US"/>
        </w:rPr>
      </w:pPr>
      <w:r w:rsidRPr="00531842">
        <w:rPr>
          <w:lang w:val="en-US"/>
        </w:rPr>
        <w:t>Insect mesh frame</w:t>
      </w:r>
      <w:r w:rsidR="00C112A3" w:rsidRPr="00531842">
        <w:rPr>
          <w:lang w:val="en-US"/>
        </w:rPr>
        <w:t xml:space="preserve"> 2</w:t>
      </w:r>
      <w:r w:rsidRPr="00531842">
        <w:rPr>
          <w:lang w:val="en-US"/>
        </w:rPr>
        <w:t>.</w:t>
      </w:r>
      <w:r w:rsidR="00C112A3" w:rsidRPr="00531842">
        <w:rPr>
          <w:lang w:val="en-US"/>
        </w:rPr>
        <w:t>3 x 2</w:t>
      </w:r>
      <w:r w:rsidRPr="00531842">
        <w:rPr>
          <w:lang w:val="en-US"/>
        </w:rPr>
        <w:t>.</w:t>
      </w:r>
      <w:r w:rsidR="00C112A3" w:rsidRPr="00531842">
        <w:rPr>
          <w:lang w:val="en-US"/>
        </w:rPr>
        <w:t>3 mm</w:t>
      </w:r>
    </w:p>
    <w:p w14:paraId="74FA6766" w14:textId="77777777" w:rsidR="00C112A3" w:rsidRPr="00531842" w:rsidRDefault="00C112A3">
      <w:pPr>
        <w:rPr>
          <w:lang w:val="en-US"/>
        </w:rPr>
      </w:pPr>
      <w:r w:rsidRPr="00531842">
        <w:rPr>
          <w:lang w:val="en-US"/>
        </w:rPr>
        <w:br w:type="page"/>
      </w:r>
    </w:p>
    <w:p w14:paraId="6CA9FCBA" w14:textId="297AE0C9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531842">
        <w:t xml:space="preserve"> </w:t>
      </w:r>
      <w:proofErr w:type="spellStart"/>
      <w:r w:rsidR="00531842">
        <w:t>and</w:t>
      </w:r>
      <w:proofErr w:type="spellEnd"/>
      <w:r w:rsidR="00531842">
        <w:t xml:space="preserve"> </w:t>
      </w:r>
      <w:proofErr w:type="spellStart"/>
      <w:r w:rsidR="00531842">
        <w:t>surface</w:t>
      </w:r>
      <w:proofErr w:type="spellEnd"/>
      <w:r w:rsidR="00531842">
        <w:t xml:space="preserve"> treatment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2F274FBC" w:rsidR="00C63555" w:rsidRDefault="00531842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>
        <w:t>: min. 1</w:t>
      </w:r>
      <w:r>
        <w:t>.</w:t>
      </w:r>
      <w:r w:rsidR="00C63555">
        <w:t>5 mm</w:t>
      </w:r>
    </w:p>
    <w:p w14:paraId="0E83A9AC" w14:textId="1E3291C2" w:rsidR="00C63555" w:rsidRDefault="00531842" w:rsidP="00C63555">
      <w:pPr>
        <w:pStyle w:val="Lijstalinea"/>
        <w:numPr>
          <w:ilvl w:val="0"/>
          <w:numId w:val="20"/>
        </w:numPr>
      </w:pPr>
      <w:r>
        <w:t>Finish</w:t>
      </w:r>
    </w:p>
    <w:p w14:paraId="4C0BD0F4" w14:textId="25F9927A" w:rsidR="00642002" w:rsidRPr="00531842" w:rsidRDefault="00531842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531842">
        <w:rPr>
          <w:lang w:val="en-US"/>
        </w:rPr>
        <w:t xml:space="preserve">Polyester powder coated (60-80 </w:t>
      </w:r>
      <w:r w:rsidRPr="00531842">
        <w:t>μ</w:t>
      </w:r>
      <w:r w:rsidRPr="00531842">
        <w:rPr>
          <w:lang w:val="en-US"/>
        </w:rPr>
        <w:t xml:space="preserve">m) according to </w:t>
      </w:r>
      <w:proofErr w:type="spellStart"/>
      <w:r w:rsidRPr="00531842">
        <w:rPr>
          <w:lang w:val="en-US"/>
        </w:rPr>
        <w:t>Qualicoat</w:t>
      </w:r>
      <w:proofErr w:type="spellEnd"/>
      <w:r w:rsidRPr="00531842">
        <w:rPr>
          <w:lang w:val="en-US"/>
        </w:rPr>
        <w:t xml:space="preserve"> Seaside type A (specific RAL codes or textured paint on request)</w:t>
      </w:r>
    </w:p>
    <w:p w14:paraId="395F45E3" w14:textId="5EE5AEB4" w:rsidR="00C63555" w:rsidRPr="001B5254" w:rsidRDefault="00C63555" w:rsidP="00C63555">
      <w:pPr>
        <w:pStyle w:val="Kop2"/>
        <w:rPr>
          <w:lang w:val="en-US"/>
        </w:rPr>
      </w:pPr>
      <w:r w:rsidRPr="001B5254">
        <w:rPr>
          <w:lang w:val="en-US"/>
        </w:rPr>
        <w:t>Techni</w:t>
      </w:r>
      <w:r w:rsidR="00531842" w:rsidRPr="001B5254">
        <w:rPr>
          <w:lang w:val="en-US"/>
        </w:rPr>
        <w:t>cal specifications</w:t>
      </w:r>
    </w:p>
    <w:p w14:paraId="41F8A28E" w14:textId="60E3B9F4" w:rsidR="00C63555" w:rsidRPr="001B5254" w:rsidRDefault="00531842" w:rsidP="00C63555">
      <w:pPr>
        <w:pStyle w:val="Kop3"/>
        <w:rPr>
          <w:lang w:val="en-US"/>
        </w:rPr>
      </w:pPr>
      <w:r w:rsidRPr="001B5254">
        <w:rPr>
          <w:lang w:val="en-US"/>
        </w:rPr>
        <w:t>Reaction to fire</w:t>
      </w:r>
    </w:p>
    <w:p w14:paraId="2B45D239" w14:textId="707940E0" w:rsidR="00C63555" w:rsidRPr="001B5254" w:rsidRDefault="00C63555" w:rsidP="00C63555">
      <w:pPr>
        <w:rPr>
          <w:lang w:val="en-US"/>
        </w:rPr>
      </w:pPr>
      <w:r w:rsidRPr="001B5254">
        <w:rPr>
          <w:lang w:val="en-US"/>
        </w:rPr>
        <w:t>AS-s1,d0 (EN</w:t>
      </w:r>
      <w:r w:rsidR="006F0662" w:rsidRPr="001B5254">
        <w:rPr>
          <w:lang w:val="en-US"/>
        </w:rPr>
        <w:t> </w:t>
      </w:r>
      <w:r w:rsidRPr="001B5254">
        <w:rPr>
          <w:lang w:val="en-US"/>
        </w:rPr>
        <w:t>13501-1)</w:t>
      </w:r>
    </w:p>
    <w:p w14:paraId="3083381B" w14:textId="2F3B16B6" w:rsidR="00607025" w:rsidRPr="00531842" w:rsidRDefault="00531842" w:rsidP="00607025">
      <w:pPr>
        <w:pStyle w:val="Kop3"/>
        <w:rPr>
          <w:lang w:val="en-US"/>
        </w:rPr>
      </w:pPr>
      <w:r w:rsidRPr="00531842">
        <w:rPr>
          <w:lang w:val="en-US"/>
        </w:rPr>
        <w:t>Fire resistance</w:t>
      </w:r>
    </w:p>
    <w:p w14:paraId="7F4F15D2" w14:textId="7767596F" w:rsidR="00607025" w:rsidRPr="00531842" w:rsidRDefault="00531842" w:rsidP="00607025">
      <w:pPr>
        <w:rPr>
          <w:lang w:val="en-US"/>
        </w:rPr>
      </w:pPr>
      <w:r w:rsidRPr="00531842">
        <w:rPr>
          <w:lang w:val="en-US"/>
        </w:rPr>
        <w:t>Damping material</w:t>
      </w:r>
      <w:r w:rsidR="008831B5" w:rsidRPr="00531842">
        <w:rPr>
          <w:lang w:val="en-US"/>
        </w:rPr>
        <w:t xml:space="preserve">: </w:t>
      </w:r>
      <w:r w:rsidRPr="00531842">
        <w:rPr>
          <w:lang w:val="en-US"/>
        </w:rPr>
        <w:t>non-combustible</w:t>
      </w:r>
      <w:r w:rsidR="008831B5" w:rsidRPr="00531842">
        <w:rPr>
          <w:lang w:val="en-US"/>
        </w:rPr>
        <w:t xml:space="preserve"> (NEN 6064)</w:t>
      </w:r>
    </w:p>
    <w:p w14:paraId="7E43A18E" w14:textId="0ABB3825" w:rsidR="00A24D46" w:rsidRPr="00531842" w:rsidRDefault="00531842" w:rsidP="00A24D46">
      <w:pPr>
        <w:pStyle w:val="Kop3"/>
        <w:rPr>
          <w:lang w:val="en-US"/>
        </w:rPr>
      </w:pPr>
      <w:r w:rsidRPr="00531842">
        <w:rPr>
          <w:lang w:val="en-US"/>
        </w:rPr>
        <w:t>Free area</w:t>
      </w:r>
    </w:p>
    <w:tbl>
      <w:tblPr>
        <w:tblStyle w:val="Tabelraster"/>
        <w:tblW w:w="8504" w:type="dxa"/>
        <w:tblLayout w:type="fixed"/>
        <w:tblLook w:val="04A0" w:firstRow="1" w:lastRow="0" w:firstColumn="1" w:lastColumn="0" w:noHBand="0" w:noVBand="1"/>
      </w:tblPr>
      <w:tblGrid>
        <w:gridCol w:w="3402"/>
        <w:gridCol w:w="2551"/>
        <w:gridCol w:w="2551"/>
      </w:tblGrid>
      <w:tr w:rsidR="00F67EC1" w14:paraId="356DC8A2" w14:textId="164E0338" w:rsidTr="00FA04F0">
        <w:trPr>
          <w:trHeight w:val="510"/>
        </w:trPr>
        <w:tc>
          <w:tcPr>
            <w:tcW w:w="3402" w:type="dxa"/>
            <w:shd w:val="clear" w:color="auto" w:fill="43B02A"/>
            <w:vAlign w:val="center"/>
          </w:tcPr>
          <w:p w14:paraId="0399B0F0" w14:textId="77777777" w:rsidR="00F67EC1" w:rsidRPr="00531842" w:rsidRDefault="00F67EC1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</w:p>
        </w:tc>
        <w:tc>
          <w:tcPr>
            <w:tcW w:w="2551" w:type="dxa"/>
            <w:shd w:val="clear" w:color="auto" w:fill="43B02A"/>
            <w:vAlign w:val="center"/>
          </w:tcPr>
          <w:p w14:paraId="7CB48C0D" w14:textId="33FCCC4F" w:rsidR="00F67EC1" w:rsidRPr="00C63555" w:rsidRDefault="00531842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lang w:val="en-US"/>
              </w:rPr>
              <w:t>Pitch</w:t>
            </w:r>
            <w:r w:rsidR="00F67EC1">
              <w:rPr>
                <w:b/>
                <w:bCs/>
                <w:color w:val="FFFFFF"/>
                <w:lang w:val="en-US"/>
              </w:rPr>
              <w:t xml:space="preserve"> 112</w:t>
            </w:r>
          </w:p>
        </w:tc>
        <w:tc>
          <w:tcPr>
            <w:tcW w:w="2551" w:type="dxa"/>
            <w:shd w:val="clear" w:color="auto" w:fill="43B02A"/>
            <w:vAlign w:val="center"/>
          </w:tcPr>
          <w:p w14:paraId="49DE382F" w14:textId="531BCC51" w:rsidR="00F67EC1" w:rsidRDefault="001F39EC" w:rsidP="00FA04F0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Pitch</w:t>
            </w:r>
            <w:r w:rsidR="00F67EC1">
              <w:rPr>
                <w:b/>
                <w:bCs/>
                <w:color w:val="FFFFFF"/>
                <w:lang w:val="en-US"/>
              </w:rPr>
              <w:t xml:space="preserve"> 150</w:t>
            </w:r>
          </w:p>
        </w:tc>
      </w:tr>
      <w:tr w:rsidR="00F67EC1" w14:paraId="4FE13E65" w14:textId="67715F32" w:rsidTr="004925B8">
        <w:trPr>
          <w:trHeight w:val="340"/>
        </w:trPr>
        <w:tc>
          <w:tcPr>
            <w:tcW w:w="3402" w:type="dxa"/>
            <w:shd w:val="clear" w:color="auto" w:fill="43B02A"/>
            <w:vAlign w:val="center"/>
          </w:tcPr>
          <w:p w14:paraId="2F8C1F03" w14:textId="6D63C72C" w:rsidR="00F67EC1" w:rsidRPr="00C63555" w:rsidRDefault="001F39EC" w:rsidP="00A24D4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Visual free area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8E8717" w14:textId="4DAB50E9" w:rsidR="00F67EC1" w:rsidRPr="00C63555" w:rsidRDefault="00F67EC1" w:rsidP="007E77D9">
            <w:pPr>
              <w:pStyle w:val="Lijstalinea"/>
              <w:ind w:left="0"/>
              <w:jc w:val="center"/>
            </w:pPr>
            <w:r w:rsidRPr="00C63555">
              <w:t>6</w:t>
            </w:r>
            <w:r>
              <w:t>6 </w:t>
            </w:r>
            <w:r w:rsidRPr="00C63555">
              <w:t>%</w:t>
            </w:r>
          </w:p>
        </w:tc>
        <w:tc>
          <w:tcPr>
            <w:tcW w:w="2551" w:type="dxa"/>
            <w:vAlign w:val="center"/>
          </w:tcPr>
          <w:p w14:paraId="035DEF03" w14:textId="2A9B248A" w:rsidR="00F67EC1" w:rsidRPr="00C63555" w:rsidRDefault="001F3D5F" w:rsidP="001F3D5F">
            <w:pPr>
              <w:pStyle w:val="Lijstalinea"/>
              <w:ind w:left="0"/>
              <w:jc w:val="center"/>
            </w:pPr>
            <w:r>
              <w:t>74 %</w:t>
            </w:r>
          </w:p>
        </w:tc>
      </w:tr>
      <w:tr w:rsidR="00F67EC1" w14:paraId="643D4C76" w14:textId="3885F0C2" w:rsidTr="004925B8">
        <w:trPr>
          <w:trHeight w:val="340"/>
        </w:trPr>
        <w:tc>
          <w:tcPr>
            <w:tcW w:w="3402" w:type="dxa"/>
            <w:shd w:val="clear" w:color="auto" w:fill="43B02A"/>
            <w:vAlign w:val="center"/>
          </w:tcPr>
          <w:p w14:paraId="0F2375A5" w14:textId="3BC19855" w:rsidR="00F67EC1" w:rsidRPr="00C63555" w:rsidRDefault="001F39EC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Physical</w:t>
            </w:r>
            <w:proofErr w:type="spellEnd"/>
            <w:r>
              <w:rPr>
                <w:b/>
                <w:bCs/>
                <w:color w:val="FFFFFF"/>
              </w:rPr>
              <w:t xml:space="preserve"> free area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650352" w14:textId="3BF8EAC6" w:rsidR="00F67EC1" w:rsidRPr="00C63555" w:rsidRDefault="00F67EC1" w:rsidP="007E77D9">
            <w:pPr>
              <w:pStyle w:val="Lijstalinea"/>
              <w:ind w:left="0"/>
              <w:jc w:val="center"/>
            </w:pPr>
            <w:r>
              <w:t>25 </w:t>
            </w:r>
            <w:r w:rsidRPr="00C63555">
              <w:t>%</w:t>
            </w:r>
          </w:p>
        </w:tc>
        <w:tc>
          <w:tcPr>
            <w:tcW w:w="2551" w:type="dxa"/>
            <w:vAlign w:val="center"/>
          </w:tcPr>
          <w:p w14:paraId="0572210A" w14:textId="416F34A5" w:rsidR="00F67EC1" w:rsidRDefault="001F3D5F" w:rsidP="001F3D5F">
            <w:pPr>
              <w:pStyle w:val="Lijstalinea"/>
              <w:ind w:left="0"/>
              <w:jc w:val="center"/>
            </w:pPr>
            <w:r>
              <w:t>35 %</w:t>
            </w:r>
          </w:p>
        </w:tc>
      </w:tr>
    </w:tbl>
    <w:p w14:paraId="2764FA6D" w14:textId="3C32B069" w:rsidR="00B913E5" w:rsidRDefault="001F39EC" w:rsidP="00B913E5">
      <w:pPr>
        <w:pStyle w:val="Kop3"/>
      </w:pPr>
      <w:proofErr w:type="spellStart"/>
      <w:r>
        <w:t>Airflow</w:t>
      </w:r>
      <w:proofErr w:type="spellEnd"/>
      <w:r>
        <w:t xml:space="preserve"> data</w:t>
      </w:r>
    </w:p>
    <w:p w14:paraId="3312D7BA" w14:textId="2513590D" w:rsidR="008B3288" w:rsidRPr="008B3288" w:rsidRDefault="001F39EC" w:rsidP="008B3288">
      <w:pPr>
        <w:pStyle w:val="Lijstalinea"/>
        <w:numPr>
          <w:ilvl w:val="0"/>
          <w:numId w:val="20"/>
        </w:numPr>
      </w:pPr>
      <w:r>
        <w:t xml:space="preserve">Standard </w:t>
      </w:r>
      <w:proofErr w:type="spellStart"/>
      <w:r>
        <w:t>version</w:t>
      </w:r>
      <w:proofErr w:type="spellEnd"/>
    </w:p>
    <w:tbl>
      <w:tblPr>
        <w:tblStyle w:val="Tabelraster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B913E5" w14:paraId="70A14306" w14:textId="77777777" w:rsidTr="00FF7656">
        <w:tc>
          <w:tcPr>
            <w:tcW w:w="1701" w:type="dxa"/>
            <w:shd w:val="clear" w:color="auto" w:fill="43B02A"/>
            <w:vAlign w:val="center"/>
          </w:tcPr>
          <w:p w14:paraId="67E7DF91" w14:textId="77777777" w:rsidR="00B913E5" w:rsidRPr="00C63555" w:rsidRDefault="00B913E5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4578B1D1" w14:textId="2BE4C630" w:rsidR="00B913E5" w:rsidRPr="00C63555" w:rsidRDefault="00B913E5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 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3B672723" w14:textId="6727E38D" w:rsidR="00B913E5" w:rsidRPr="00C63555" w:rsidRDefault="00B913E5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 150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7F554859" w14:textId="4D4A313B" w:rsidR="00B913E5" w:rsidRPr="00C63555" w:rsidRDefault="00B913E5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 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18C24A18" w14:textId="1928000E" w:rsidR="00B913E5" w:rsidRPr="00C63555" w:rsidRDefault="00B913E5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 150</w:t>
            </w:r>
          </w:p>
        </w:tc>
      </w:tr>
      <w:tr w:rsidR="00685C6F" w14:paraId="7FD019FB" w14:textId="77777777" w:rsidTr="00FF7656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75952D62" w14:textId="77777777" w:rsidR="00685C6F" w:rsidRPr="00C63555" w:rsidRDefault="00685C6F" w:rsidP="00685C6F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AF5EB" w14:textId="3EF08E56" w:rsidR="00685C6F" w:rsidRPr="00C63555" w:rsidRDefault="00685C6F" w:rsidP="00685C6F">
            <w:pPr>
              <w:pStyle w:val="Lijstalinea"/>
              <w:ind w:left="0"/>
              <w:jc w:val="center"/>
            </w:pPr>
            <w:r>
              <w:t>0</w:t>
            </w:r>
            <w:r w:rsidR="001F39EC">
              <w:t>.</w:t>
            </w:r>
            <w:r>
              <w:t>254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B9392D" w14:textId="3B105F98" w:rsidR="00685C6F" w:rsidRPr="00C63555" w:rsidRDefault="00685C6F" w:rsidP="00685C6F">
            <w:pPr>
              <w:pStyle w:val="Lijstalinea"/>
              <w:ind w:left="0"/>
              <w:jc w:val="center"/>
            </w:pPr>
            <w:r>
              <w:t>0</w:t>
            </w:r>
            <w:r w:rsidR="001F39EC">
              <w:t>.</w:t>
            </w:r>
            <w:r>
              <w:t>295</w:t>
            </w:r>
          </w:p>
        </w:tc>
        <w:tc>
          <w:tcPr>
            <w:tcW w:w="1701" w:type="dxa"/>
            <w:vAlign w:val="center"/>
          </w:tcPr>
          <w:p w14:paraId="20D3301E" w14:textId="184020FC" w:rsidR="00685C6F" w:rsidRPr="00C63555" w:rsidRDefault="00685C6F" w:rsidP="00685C6F">
            <w:pPr>
              <w:pStyle w:val="Lijstalinea"/>
              <w:ind w:left="0"/>
              <w:jc w:val="center"/>
            </w:pPr>
            <w:r>
              <w:t>0</w:t>
            </w:r>
            <w:r w:rsidR="001F39EC">
              <w:t>.</w:t>
            </w:r>
            <w:r>
              <w:t>197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9AE49" w14:textId="3F366E20" w:rsidR="00685C6F" w:rsidRPr="00C63555" w:rsidRDefault="00685C6F" w:rsidP="00685C6F">
            <w:pPr>
              <w:pStyle w:val="Lijstalinea"/>
              <w:ind w:left="0"/>
              <w:jc w:val="center"/>
            </w:pPr>
            <w:r>
              <w:t>0</w:t>
            </w:r>
            <w:r w:rsidR="001F39EC">
              <w:t>.</w:t>
            </w:r>
            <w:r>
              <w:t>211</w:t>
            </w:r>
          </w:p>
        </w:tc>
      </w:tr>
      <w:tr w:rsidR="00BC7B37" w14:paraId="183ED643" w14:textId="77777777" w:rsidTr="00FF7656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6D81AEDD" w14:textId="62D7B155" w:rsidR="00BC7B37" w:rsidRPr="00C63555" w:rsidRDefault="00BC7B37" w:rsidP="00BC7B37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 xml:space="preserve">K-factor </w:t>
            </w:r>
            <w:r w:rsidR="001F39EC">
              <w:rPr>
                <w:b/>
                <w:bCs/>
                <w:color w:val="FFFFFF"/>
              </w:rPr>
              <w:t>intake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E37B8" w14:textId="6F01180B" w:rsidR="00BC7B37" w:rsidRPr="00C63555" w:rsidRDefault="00BC7B37" w:rsidP="00BC7B37">
            <w:pPr>
              <w:pStyle w:val="Lijstalinea"/>
              <w:ind w:left="0"/>
              <w:jc w:val="center"/>
            </w:pPr>
            <w:r>
              <w:t>15</w:t>
            </w:r>
            <w:r w:rsidR="001F39EC">
              <w:t>.</w:t>
            </w:r>
            <w: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4C42D1" w14:textId="76DE8777" w:rsidR="00BC7B37" w:rsidRPr="00C63555" w:rsidRDefault="00BC7B37" w:rsidP="00BC7B37">
            <w:pPr>
              <w:pStyle w:val="Lijstalinea"/>
              <w:ind w:left="0"/>
              <w:jc w:val="center"/>
            </w:pPr>
            <w:r>
              <w:t>11</w:t>
            </w:r>
            <w:r w:rsidR="001F39EC">
              <w:t>.</w:t>
            </w:r>
            <w:r>
              <w:t>49</w:t>
            </w:r>
          </w:p>
        </w:tc>
        <w:tc>
          <w:tcPr>
            <w:tcW w:w="1701" w:type="dxa"/>
            <w:vAlign w:val="center"/>
          </w:tcPr>
          <w:p w14:paraId="5DAC35DF" w14:textId="6099B0C3" w:rsidR="00BC7B37" w:rsidRPr="00C63555" w:rsidRDefault="00BC7B37" w:rsidP="00BC7B37">
            <w:pPr>
              <w:pStyle w:val="Lijstalinea"/>
              <w:ind w:left="0"/>
              <w:jc w:val="center"/>
            </w:pPr>
            <w:r>
              <w:t>25</w:t>
            </w:r>
            <w:r w:rsidR="001F39EC">
              <w:t>.</w:t>
            </w:r>
            <w: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BA612" w14:textId="59742AD6" w:rsidR="00BC7B37" w:rsidRPr="00C63555" w:rsidRDefault="00BC7B37" w:rsidP="00BC7B37">
            <w:pPr>
              <w:pStyle w:val="Lijstalinea"/>
              <w:ind w:left="0"/>
              <w:jc w:val="center"/>
            </w:pPr>
            <w:r>
              <w:t>22</w:t>
            </w:r>
            <w:r w:rsidR="001F39EC">
              <w:t>.</w:t>
            </w:r>
            <w:r>
              <w:t>46</w:t>
            </w:r>
          </w:p>
        </w:tc>
      </w:tr>
      <w:tr w:rsidR="008B3288" w14:paraId="6A54E339" w14:textId="77777777" w:rsidTr="00FF7656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3DAE7406" w14:textId="77777777" w:rsidR="008B3288" w:rsidRPr="00C63555" w:rsidRDefault="008B3288" w:rsidP="008B328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A5E00C" w14:textId="7C7EDF6D" w:rsidR="008B3288" w:rsidRPr="00C63555" w:rsidRDefault="008B3288" w:rsidP="008B3288">
            <w:pPr>
              <w:pStyle w:val="Lijstalinea"/>
              <w:ind w:left="0"/>
              <w:jc w:val="center"/>
            </w:pPr>
            <w:r>
              <w:t>0</w:t>
            </w:r>
            <w:r w:rsidR="001F39EC">
              <w:t>.</w:t>
            </w:r>
            <w:r>
              <w:t>253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910C58" w14:textId="1BA8B71A" w:rsidR="008B3288" w:rsidRPr="00C63555" w:rsidRDefault="008B3288" w:rsidP="008B3288">
            <w:pPr>
              <w:pStyle w:val="Lijstalinea"/>
              <w:ind w:left="0"/>
              <w:jc w:val="center"/>
            </w:pPr>
            <w:r>
              <w:t>0</w:t>
            </w:r>
            <w:r w:rsidR="001F39EC">
              <w:t>.</w:t>
            </w:r>
            <w:r>
              <w:t>29</w:t>
            </w:r>
          </w:p>
        </w:tc>
        <w:tc>
          <w:tcPr>
            <w:tcW w:w="1701" w:type="dxa"/>
            <w:vAlign w:val="center"/>
          </w:tcPr>
          <w:p w14:paraId="5D935998" w14:textId="35F57AEF" w:rsidR="008B3288" w:rsidRPr="00C63555" w:rsidRDefault="008B3288" w:rsidP="008B3288">
            <w:pPr>
              <w:pStyle w:val="Lijstalinea"/>
              <w:ind w:left="0"/>
              <w:jc w:val="center"/>
            </w:pPr>
            <w:r>
              <w:t>0</w:t>
            </w:r>
            <w:r w:rsidR="001F39EC">
              <w:t>.</w:t>
            </w:r>
            <w:r>
              <w:t>196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0FCF3" w14:textId="526C081D" w:rsidR="008B3288" w:rsidRPr="00C63555" w:rsidRDefault="008B3288" w:rsidP="008B3288">
            <w:pPr>
              <w:pStyle w:val="Lijstalinea"/>
              <w:ind w:left="0"/>
              <w:jc w:val="center"/>
            </w:pPr>
            <w:r>
              <w:t>0</w:t>
            </w:r>
            <w:r w:rsidR="001F39EC">
              <w:t>.</w:t>
            </w:r>
            <w:r>
              <w:t>193</w:t>
            </w:r>
          </w:p>
        </w:tc>
      </w:tr>
      <w:tr w:rsidR="00A83EF0" w14:paraId="2941A860" w14:textId="77777777" w:rsidTr="00FF7656">
        <w:tc>
          <w:tcPr>
            <w:tcW w:w="1701" w:type="dxa"/>
            <w:shd w:val="clear" w:color="auto" w:fill="43B02A"/>
            <w:vAlign w:val="center"/>
          </w:tcPr>
          <w:p w14:paraId="559DDFBE" w14:textId="4B7B4246" w:rsidR="00A83EF0" w:rsidRPr="00C63555" w:rsidRDefault="00A83EF0" w:rsidP="00A83EF0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 xml:space="preserve">K-factor </w:t>
            </w:r>
            <w:proofErr w:type="spellStart"/>
            <w:r w:rsidR="001F39EC">
              <w:rPr>
                <w:b/>
                <w:bCs/>
                <w:color w:val="FFFFFF"/>
              </w:rPr>
              <w:t>exhaust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49D544A" w14:textId="6D9D90C3" w:rsidR="00A83EF0" w:rsidRPr="00C63555" w:rsidRDefault="00A83EF0" w:rsidP="00A83EF0">
            <w:pPr>
              <w:pStyle w:val="Lijstalinea"/>
              <w:ind w:left="0"/>
              <w:jc w:val="center"/>
            </w:pPr>
            <w:r>
              <w:t>15</w:t>
            </w:r>
            <w:r w:rsidR="001F39EC">
              <w:t>.</w:t>
            </w:r>
            <w: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773AC" w14:textId="0EDBFF9C" w:rsidR="00A83EF0" w:rsidRPr="00C63555" w:rsidRDefault="00A83EF0" w:rsidP="00A83EF0">
            <w:pPr>
              <w:pStyle w:val="Lijstalinea"/>
              <w:ind w:left="0"/>
              <w:jc w:val="center"/>
            </w:pPr>
            <w:r>
              <w:t>11</w:t>
            </w:r>
            <w:r w:rsidR="001F39EC">
              <w:t>.</w:t>
            </w:r>
            <w:r>
              <w:t>89</w:t>
            </w:r>
          </w:p>
        </w:tc>
        <w:tc>
          <w:tcPr>
            <w:tcW w:w="1701" w:type="dxa"/>
            <w:vAlign w:val="center"/>
          </w:tcPr>
          <w:p w14:paraId="12DD70B1" w14:textId="2A910E0E" w:rsidR="00A83EF0" w:rsidRPr="00C63555" w:rsidRDefault="00A83EF0" w:rsidP="00A83EF0">
            <w:pPr>
              <w:pStyle w:val="Lijstalinea"/>
              <w:ind w:left="0"/>
              <w:jc w:val="center"/>
            </w:pPr>
            <w:r>
              <w:t>26</w:t>
            </w:r>
            <w:r w:rsidR="001F39EC">
              <w:t>.</w:t>
            </w:r>
            <w: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8FCA8" w14:textId="19014919" w:rsidR="00A83EF0" w:rsidRPr="00C63555" w:rsidRDefault="00A83EF0" w:rsidP="00A83EF0">
            <w:pPr>
              <w:pStyle w:val="Lijstalinea"/>
              <w:ind w:left="0"/>
              <w:jc w:val="center"/>
            </w:pPr>
            <w:r>
              <w:t>26</w:t>
            </w:r>
            <w:r w:rsidR="001F39EC">
              <w:t>.</w:t>
            </w:r>
            <w:r>
              <w:t>85</w:t>
            </w:r>
          </w:p>
        </w:tc>
      </w:tr>
    </w:tbl>
    <w:p w14:paraId="60E45EF9" w14:textId="77777777" w:rsidR="008B3288" w:rsidRDefault="008B3288" w:rsidP="008B3288">
      <w:pPr>
        <w:pStyle w:val="Lijstalinea"/>
      </w:pPr>
    </w:p>
    <w:p w14:paraId="12F99187" w14:textId="0D69F5F6" w:rsidR="008B3288" w:rsidRDefault="008B3288" w:rsidP="008B3288">
      <w:pPr>
        <w:pStyle w:val="Lijstalinea"/>
        <w:numPr>
          <w:ilvl w:val="0"/>
          <w:numId w:val="20"/>
        </w:numPr>
      </w:pPr>
      <w:r>
        <w:t>Versi</w:t>
      </w:r>
      <w:r w:rsidR="001F39EC">
        <w:t>on</w:t>
      </w:r>
      <w:r>
        <w:t xml:space="preserve"> ‘+ options’</w:t>
      </w:r>
    </w:p>
    <w:tbl>
      <w:tblPr>
        <w:tblStyle w:val="Tabelraster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8B3288" w14:paraId="70007C43" w14:textId="77777777" w:rsidTr="00FF7656">
        <w:tc>
          <w:tcPr>
            <w:tcW w:w="1701" w:type="dxa"/>
            <w:shd w:val="clear" w:color="auto" w:fill="43B02A"/>
            <w:vAlign w:val="center"/>
          </w:tcPr>
          <w:p w14:paraId="7C2E65A6" w14:textId="77777777" w:rsidR="008B3288" w:rsidRPr="00C63555" w:rsidRDefault="008B3288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1AFE7B08" w14:textId="53C1DB76" w:rsidR="008B3288" w:rsidRPr="00C63555" w:rsidRDefault="008B3288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2FC2AF29" w14:textId="47F98265" w:rsidR="008B3288" w:rsidRPr="00C63555" w:rsidRDefault="008B3288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5AC675C9" w14:textId="5204EC09" w:rsidR="008B3288" w:rsidRPr="00C63555" w:rsidRDefault="008B3288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0AA17B36" w14:textId="25BCC42B" w:rsidR="008B3288" w:rsidRPr="00C63555" w:rsidRDefault="008B3288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</w:tr>
      <w:tr w:rsidR="001A06DA" w14:paraId="05851071" w14:textId="77777777" w:rsidTr="00FF7656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5DAC18A3" w14:textId="77777777" w:rsidR="001A06DA" w:rsidRPr="00C63555" w:rsidRDefault="001A06DA" w:rsidP="001A06DA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A20A0" w14:textId="6CC99C4D" w:rsidR="001A06DA" w:rsidRPr="00C63555" w:rsidRDefault="001A06DA" w:rsidP="001A06DA">
            <w:pPr>
              <w:pStyle w:val="Lijstalinea"/>
              <w:ind w:left="0"/>
              <w:jc w:val="center"/>
            </w:pPr>
            <w:r>
              <w:t>0</w:t>
            </w:r>
            <w:r w:rsidR="001F39EC">
              <w:t>.</w:t>
            </w:r>
            <w:r>
              <w:t>226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0253D3" w14:textId="3A67B6C2" w:rsidR="001A06DA" w:rsidRPr="00C63555" w:rsidRDefault="001A06DA" w:rsidP="001A06DA">
            <w:pPr>
              <w:pStyle w:val="Lijstalinea"/>
              <w:ind w:left="0"/>
              <w:jc w:val="center"/>
            </w:pPr>
            <w:r>
              <w:t>0</w:t>
            </w:r>
            <w:r w:rsidR="001F39EC">
              <w:t>.</w:t>
            </w:r>
            <w:r>
              <w:t>252</w:t>
            </w:r>
          </w:p>
        </w:tc>
        <w:tc>
          <w:tcPr>
            <w:tcW w:w="1701" w:type="dxa"/>
            <w:vAlign w:val="center"/>
          </w:tcPr>
          <w:p w14:paraId="7F5673E1" w14:textId="6827C29B" w:rsidR="001A06DA" w:rsidRPr="00C63555" w:rsidRDefault="001A06DA" w:rsidP="001A06DA">
            <w:pPr>
              <w:pStyle w:val="Lijstalinea"/>
              <w:ind w:left="0"/>
              <w:jc w:val="center"/>
            </w:pPr>
            <w:r>
              <w:t>0</w:t>
            </w:r>
            <w:r w:rsidR="001F39EC">
              <w:t>.</w:t>
            </w:r>
            <w:r>
              <w:t>182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881B7" w14:textId="34BED523" w:rsidR="001A06DA" w:rsidRPr="00C63555" w:rsidRDefault="001A06DA" w:rsidP="001A06DA">
            <w:pPr>
              <w:pStyle w:val="Lijstalinea"/>
              <w:ind w:left="0"/>
              <w:jc w:val="center"/>
            </w:pPr>
            <w:r>
              <w:t>0</w:t>
            </w:r>
            <w:r w:rsidR="001F39EC">
              <w:t>.</w:t>
            </w:r>
            <w:r>
              <w:t>2</w:t>
            </w:r>
          </w:p>
        </w:tc>
      </w:tr>
      <w:tr w:rsidR="00812C4F" w14:paraId="6BB2F47A" w14:textId="77777777" w:rsidTr="00FF7656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5CD4730D" w14:textId="4B11783B" w:rsidR="00812C4F" w:rsidRPr="00C63555" w:rsidRDefault="00812C4F" w:rsidP="00812C4F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 xml:space="preserve">K-factor </w:t>
            </w:r>
            <w:r w:rsidR="001F39EC">
              <w:rPr>
                <w:b/>
                <w:bCs/>
                <w:color w:val="FFFFFF"/>
              </w:rPr>
              <w:t>intake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E95CF" w14:textId="5738BB52" w:rsidR="00812C4F" w:rsidRPr="00C63555" w:rsidRDefault="00812C4F" w:rsidP="00812C4F">
            <w:pPr>
              <w:pStyle w:val="Lijstalinea"/>
              <w:ind w:left="0"/>
              <w:jc w:val="center"/>
            </w:pPr>
            <w:r>
              <w:t>19</w:t>
            </w:r>
            <w:r w:rsidR="001F39EC">
              <w:t>.</w:t>
            </w:r>
            <w: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6091B" w14:textId="1023E6E6" w:rsidR="00812C4F" w:rsidRPr="00C63555" w:rsidRDefault="00812C4F" w:rsidP="00812C4F">
            <w:pPr>
              <w:pStyle w:val="Lijstalinea"/>
              <w:ind w:left="0"/>
              <w:jc w:val="center"/>
            </w:pPr>
            <w:r>
              <w:t>15</w:t>
            </w:r>
            <w:r w:rsidR="001F39EC">
              <w:t>.</w:t>
            </w:r>
            <w:r>
              <w:t>75</w:t>
            </w:r>
          </w:p>
        </w:tc>
        <w:tc>
          <w:tcPr>
            <w:tcW w:w="1701" w:type="dxa"/>
            <w:vAlign w:val="center"/>
          </w:tcPr>
          <w:p w14:paraId="702821A7" w14:textId="42035FEA" w:rsidR="00812C4F" w:rsidRPr="00C63555" w:rsidRDefault="00812C4F" w:rsidP="00812C4F">
            <w:pPr>
              <w:pStyle w:val="Lijstalinea"/>
              <w:ind w:left="0"/>
              <w:jc w:val="center"/>
            </w:pPr>
            <w:r>
              <w:t>30</w:t>
            </w:r>
            <w:r w:rsidR="001F39EC">
              <w:t>.</w:t>
            </w:r>
            <w: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A0037F" w14:textId="4C8CBED2" w:rsidR="00812C4F" w:rsidRPr="00C63555" w:rsidRDefault="00812C4F" w:rsidP="00812C4F">
            <w:pPr>
              <w:pStyle w:val="Lijstalinea"/>
              <w:ind w:left="0"/>
              <w:jc w:val="center"/>
            </w:pPr>
            <w:r>
              <w:t>25</w:t>
            </w:r>
            <w:r w:rsidR="001F39EC">
              <w:t>.</w:t>
            </w:r>
            <w:r>
              <w:t>00</w:t>
            </w:r>
          </w:p>
        </w:tc>
      </w:tr>
      <w:tr w:rsidR="00355C3C" w14:paraId="60E1FE00" w14:textId="77777777" w:rsidTr="00FF7656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4B59E840" w14:textId="77777777" w:rsidR="00355C3C" w:rsidRPr="00C63555" w:rsidRDefault="00355C3C" w:rsidP="00355C3C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FC9DF" w14:textId="53DF52FF" w:rsidR="00355C3C" w:rsidRPr="00C63555" w:rsidRDefault="00355C3C" w:rsidP="00355C3C">
            <w:pPr>
              <w:pStyle w:val="Lijstalinea"/>
              <w:ind w:left="0"/>
              <w:jc w:val="center"/>
            </w:pPr>
            <w:r>
              <w:t>0</w:t>
            </w:r>
            <w:r w:rsidR="001F39EC">
              <w:t>.</w:t>
            </w:r>
            <w:r>
              <w:t>231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05C0E" w14:textId="77B9B9D4" w:rsidR="00355C3C" w:rsidRPr="00C63555" w:rsidRDefault="00355C3C" w:rsidP="00355C3C">
            <w:pPr>
              <w:pStyle w:val="Lijstalinea"/>
              <w:ind w:left="0"/>
              <w:jc w:val="center"/>
            </w:pPr>
            <w:r>
              <w:t>0</w:t>
            </w:r>
            <w:r w:rsidR="001F39EC">
              <w:t>.</w:t>
            </w:r>
            <w:r>
              <w:t>251</w:t>
            </w:r>
          </w:p>
        </w:tc>
        <w:tc>
          <w:tcPr>
            <w:tcW w:w="1701" w:type="dxa"/>
            <w:vAlign w:val="center"/>
          </w:tcPr>
          <w:p w14:paraId="6AB88270" w14:textId="42044A70" w:rsidR="00355C3C" w:rsidRPr="00C63555" w:rsidRDefault="00355C3C" w:rsidP="00355C3C">
            <w:pPr>
              <w:pStyle w:val="Lijstalinea"/>
              <w:ind w:left="0"/>
              <w:jc w:val="center"/>
            </w:pPr>
            <w:r>
              <w:t>0</w:t>
            </w:r>
            <w:r w:rsidR="001F39EC">
              <w:t>.</w:t>
            </w:r>
            <w:r>
              <w:t>175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0FE8B" w14:textId="0FE5ACBF" w:rsidR="00355C3C" w:rsidRPr="00C63555" w:rsidRDefault="00355C3C" w:rsidP="00355C3C">
            <w:pPr>
              <w:pStyle w:val="Lijstalinea"/>
              <w:ind w:left="0"/>
              <w:jc w:val="center"/>
            </w:pPr>
            <w:r>
              <w:t>0</w:t>
            </w:r>
            <w:r w:rsidR="001F39EC">
              <w:t>.</w:t>
            </w:r>
            <w:r>
              <w:t>175</w:t>
            </w:r>
          </w:p>
        </w:tc>
      </w:tr>
      <w:tr w:rsidR="00522F42" w14:paraId="368C9892" w14:textId="77777777" w:rsidTr="00FF7656">
        <w:tc>
          <w:tcPr>
            <w:tcW w:w="1701" w:type="dxa"/>
            <w:shd w:val="clear" w:color="auto" w:fill="43B02A"/>
            <w:vAlign w:val="center"/>
          </w:tcPr>
          <w:p w14:paraId="58DA283B" w14:textId="2FF498BE" w:rsidR="00522F42" w:rsidRPr="00C63555" w:rsidRDefault="00522F42" w:rsidP="00522F42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 xml:space="preserve">K-factor </w:t>
            </w:r>
            <w:proofErr w:type="spellStart"/>
            <w:r w:rsidR="001F39EC">
              <w:rPr>
                <w:b/>
                <w:bCs/>
                <w:color w:val="FFFFFF"/>
              </w:rPr>
              <w:t>exhaust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4463E4B" w14:textId="7A8D2760" w:rsidR="00522F42" w:rsidRPr="00C63555" w:rsidRDefault="00522F42" w:rsidP="00522F42">
            <w:pPr>
              <w:pStyle w:val="Lijstalinea"/>
              <w:ind w:left="0"/>
              <w:jc w:val="center"/>
            </w:pPr>
            <w:r>
              <w:t>18</w:t>
            </w:r>
            <w:r w:rsidR="001F39EC">
              <w:t>.</w:t>
            </w:r>
            <w: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09B70" w14:textId="0D505BA3" w:rsidR="00522F42" w:rsidRPr="00C63555" w:rsidRDefault="00522F42" w:rsidP="00522F42">
            <w:pPr>
              <w:pStyle w:val="Lijstalinea"/>
              <w:ind w:left="0"/>
              <w:jc w:val="center"/>
            </w:pPr>
            <w:r>
              <w:t>15</w:t>
            </w:r>
            <w:r w:rsidR="001F39EC">
              <w:t>.</w:t>
            </w:r>
            <w:r>
              <w:t>87</w:t>
            </w:r>
          </w:p>
        </w:tc>
        <w:tc>
          <w:tcPr>
            <w:tcW w:w="1701" w:type="dxa"/>
            <w:vAlign w:val="center"/>
          </w:tcPr>
          <w:p w14:paraId="3EE7E982" w14:textId="25099DBA" w:rsidR="00522F42" w:rsidRPr="00C63555" w:rsidRDefault="00522F42" w:rsidP="00522F42">
            <w:pPr>
              <w:pStyle w:val="Lijstalinea"/>
              <w:ind w:left="0"/>
              <w:jc w:val="center"/>
            </w:pPr>
            <w:r>
              <w:t>32</w:t>
            </w:r>
            <w:r w:rsidR="001F39EC">
              <w:t>.</w:t>
            </w:r>
            <w: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6078D" w14:textId="525204A8" w:rsidR="00522F42" w:rsidRPr="00C63555" w:rsidRDefault="00522F42" w:rsidP="00522F42">
            <w:pPr>
              <w:pStyle w:val="Lijstalinea"/>
              <w:ind w:left="0"/>
              <w:jc w:val="center"/>
            </w:pPr>
            <w:r>
              <w:t>32</w:t>
            </w:r>
            <w:r w:rsidR="001F39EC">
              <w:t>.</w:t>
            </w:r>
            <w:r>
              <w:t>65</w:t>
            </w:r>
          </w:p>
        </w:tc>
      </w:tr>
    </w:tbl>
    <w:p w14:paraId="2C30CEA3" w14:textId="77777777" w:rsidR="00355C3C" w:rsidRDefault="00355C3C">
      <w:r>
        <w:br w:type="page"/>
      </w:r>
    </w:p>
    <w:p w14:paraId="56E54191" w14:textId="1A90C859" w:rsidR="00B913E5" w:rsidRDefault="000E0112" w:rsidP="00B913E5">
      <w:pPr>
        <w:pStyle w:val="Kop3"/>
      </w:pPr>
      <w:r>
        <w:t xml:space="preserve">Water </w:t>
      </w:r>
      <w:proofErr w:type="spellStart"/>
      <w:r>
        <w:t>resistance</w:t>
      </w:r>
      <w:proofErr w:type="spellEnd"/>
    </w:p>
    <w:p w14:paraId="5F24FEC3" w14:textId="699DE35A" w:rsidR="00355C3C" w:rsidRPr="00355C3C" w:rsidRDefault="000E0112" w:rsidP="00355C3C">
      <w:pPr>
        <w:pStyle w:val="Lijstalinea"/>
        <w:numPr>
          <w:ilvl w:val="0"/>
          <w:numId w:val="20"/>
        </w:numPr>
      </w:pPr>
      <w:r>
        <w:t xml:space="preserve">Standard </w:t>
      </w:r>
      <w:proofErr w:type="spellStart"/>
      <w:r>
        <w:t>version</w:t>
      </w:r>
      <w:proofErr w:type="spellEnd"/>
    </w:p>
    <w:tbl>
      <w:tblPr>
        <w:tblStyle w:val="Tabelraster"/>
        <w:tblpPr w:leftFromText="141" w:rightFromText="141" w:vertAnchor="text" w:tblpY="1"/>
        <w:tblOverlap w:val="never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355C3C" w14:paraId="053167F5" w14:textId="77777777" w:rsidTr="004925B8">
        <w:tc>
          <w:tcPr>
            <w:tcW w:w="1701" w:type="dxa"/>
            <w:shd w:val="clear" w:color="auto" w:fill="43B02A"/>
            <w:vAlign w:val="center"/>
          </w:tcPr>
          <w:p w14:paraId="34113796" w14:textId="77777777" w:rsidR="00355C3C" w:rsidRPr="00C63555" w:rsidRDefault="00355C3C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138E3C27" w14:textId="02BA8244" w:rsidR="00355C3C" w:rsidRPr="00C63555" w:rsidRDefault="00355C3C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 w:rsidR="00536817">
              <w:rPr>
                <w:b/>
                <w:bCs/>
                <w:color w:val="FFFFFF"/>
              </w:rPr>
              <w:t>1</w:t>
            </w:r>
            <w:r>
              <w:rPr>
                <w:b/>
                <w:bCs/>
                <w:color w:val="FFFFFF"/>
              </w:rPr>
              <w:t>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5423B39A" w14:textId="2D27F691" w:rsidR="00355C3C" w:rsidRPr="00C63555" w:rsidRDefault="00355C3C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78ADFC59" w14:textId="163C53EC" w:rsidR="00355C3C" w:rsidRPr="00C63555" w:rsidRDefault="00355C3C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13998FE1" w14:textId="0CB79EA2" w:rsidR="00355C3C" w:rsidRPr="00C63555" w:rsidRDefault="00355C3C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</w:tr>
      <w:tr w:rsidR="00704D08" w14:paraId="114E7FB3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536DE4D7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F0E6D8" w14:textId="4065A314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D4C508" w14:textId="0271535C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vAlign w:val="center"/>
          </w:tcPr>
          <w:p w14:paraId="2297B892" w14:textId="6620ED16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908BC3" w14:textId="2B51F566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</w:tr>
      <w:tr w:rsidR="00704D08" w14:paraId="26CE7D2B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0B85B0ED" w14:textId="47EB124E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</w:t>
            </w:r>
            <w:r w:rsidR="001F39EC">
              <w:rPr>
                <w:b/>
                <w:bCs/>
                <w:color w:val="FFFFFF"/>
              </w:rPr>
              <w:t>.</w:t>
            </w:r>
            <w:r w:rsidRPr="00C63555">
              <w:rPr>
                <w:b/>
                <w:bCs/>
                <w:color w:val="FFFFFF"/>
              </w:rPr>
              <w:t>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11EBC" w14:textId="72127556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4D356" w14:textId="42A6E53F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040C5733" w14:textId="2A71E80F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9E18B" w14:textId="306E8C27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</w:tr>
      <w:tr w:rsidR="00704D08" w14:paraId="42B9BC0F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5AA4B522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5C35F" w14:textId="4C5DD793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51489" w14:textId="4BC15A7D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2B51C3E2" w14:textId="03A4CE4F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46F2B" w14:textId="5165B67C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</w:tr>
      <w:tr w:rsidR="00704D08" w14:paraId="4418CE7C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6A70539A" w14:textId="094F1448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</w:t>
            </w:r>
            <w:r w:rsidR="001F39EC">
              <w:rPr>
                <w:b/>
                <w:bCs/>
                <w:color w:val="FFFFFF"/>
              </w:rPr>
              <w:t>.</w:t>
            </w:r>
            <w:r w:rsidRPr="00C63555">
              <w:rPr>
                <w:b/>
                <w:bCs/>
                <w:color w:val="FFFFFF"/>
              </w:rPr>
              <w:t>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43813" w14:textId="6C389A57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2817C8" w14:textId="74A1F96A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23251645" w14:textId="2CC397D6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41AE6" w14:textId="55A8EA3F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</w:tr>
      <w:tr w:rsidR="00704D08" w14:paraId="187843F9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06B6383A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7BFFF" w14:textId="4ED89F25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AD5295" w14:textId="23D73156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1B45F9C5" w14:textId="55751200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BB3A9" w14:textId="4F2B7F48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  <w:tr w:rsidR="00704D08" w14:paraId="2432828B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58D4584F" w14:textId="0D412814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</w:t>
            </w:r>
            <w:r w:rsidR="001F39EC">
              <w:rPr>
                <w:b/>
                <w:bCs/>
                <w:color w:val="FFFFFF"/>
              </w:rPr>
              <w:t>.</w:t>
            </w:r>
            <w:r w:rsidRPr="00C63555">
              <w:rPr>
                <w:b/>
                <w:bCs/>
                <w:color w:val="FFFFFF"/>
              </w:rPr>
              <w:t>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4CB905" w14:textId="7CD94B50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2EB5A" w14:textId="0FE1F7F8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2CEBC32C" w14:textId="78F07DE8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AB42E7" w14:textId="52F82A78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  <w:tr w:rsidR="00704D08" w14:paraId="5D8629B2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40C6D441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C99F93" w14:textId="3E590600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B9BB4" w14:textId="7E02B90B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1290FEF1" w14:textId="1316E40F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912004" w14:textId="2553353B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  <w:tr w:rsidR="00704D08" w14:paraId="48CB48C1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7EFA6F3F" w14:textId="1DEB28DB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</w:t>
            </w:r>
            <w:r w:rsidR="001F39EC">
              <w:rPr>
                <w:b/>
                <w:bCs/>
                <w:color w:val="FFFFFF"/>
              </w:rPr>
              <w:t>.</w:t>
            </w:r>
            <w:r w:rsidRPr="00C63555">
              <w:rPr>
                <w:b/>
                <w:bCs/>
                <w:color w:val="FFFFFF"/>
              </w:rPr>
              <w:t>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8ABF11" w14:textId="6EC8DAB9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D0E0B2" w14:textId="6E8A3252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4148C742" w14:textId="51CF1E06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110A77" w14:textId="032DDE84" w:rsidR="00704D08" w:rsidRPr="00C63555" w:rsidRDefault="00704D08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</w:tbl>
    <w:p w14:paraId="293A0F21" w14:textId="77777777" w:rsidR="00B913E5" w:rsidRDefault="00B913E5" w:rsidP="00213292">
      <w:pPr>
        <w:pStyle w:val="Kop3"/>
      </w:pPr>
    </w:p>
    <w:p w14:paraId="011AC071" w14:textId="77777777" w:rsidR="00B913E5" w:rsidRDefault="00B913E5" w:rsidP="00213292">
      <w:pPr>
        <w:pStyle w:val="Kop3"/>
      </w:pPr>
    </w:p>
    <w:p w14:paraId="3949FFDD" w14:textId="77777777" w:rsidR="00B913E5" w:rsidRDefault="00B913E5" w:rsidP="00213292">
      <w:pPr>
        <w:pStyle w:val="Kop3"/>
      </w:pPr>
    </w:p>
    <w:p w14:paraId="28A0C6F1" w14:textId="77777777" w:rsidR="00B913E5" w:rsidRDefault="00B913E5" w:rsidP="00213292">
      <w:pPr>
        <w:pStyle w:val="Kop3"/>
      </w:pPr>
    </w:p>
    <w:p w14:paraId="0DE5B975" w14:textId="77777777" w:rsidR="00B913E5" w:rsidRDefault="00B913E5" w:rsidP="00213292">
      <w:pPr>
        <w:pStyle w:val="Kop3"/>
      </w:pPr>
    </w:p>
    <w:p w14:paraId="04E81961" w14:textId="77777777" w:rsidR="00704D08" w:rsidRDefault="00704D08" w:rsidP="00704D08"/>
    <w:p w14:paraId="3D9C5312" w14:textId="69E8C58C" w:rsidR="00704D08" w:rsidRDefault="00704D08" w:rsidP="00704D08">
      <w:pPr>
        <w:pStyle w:val="Lijstalinea"/>
        <w:numPr>
          <w:ilvl w:val="0"/>
          <w:numId w:val="20"/>
        </w:numPr>
      </w:pPr>
      <w:r>
        <w:t>Versi</w:t>
      </w:r>
      <w:r w:rsidR="000E0112">
        <w:t>on</w:t>
      </w:r>
      <w:r>
        <w:t xml:space="preserve"> ‘+ options’</w:t>
      </w:r>
    </w:p>
    <w:tbl>
      <w:tblPr>
        <w:tblStyle w:val="Tabelraster"/>
        <w:tblpPr w:leftFromText="141" w:rightFromText="141" w:vertAnchor="text" w:tblpY="1"/>
        <w:tblOverlap w:val="never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704D08" w14:paraId="4D51E838" w14:textId="77777777" w:rsidTr="004925B8">
        <w:tc>
          <w:tcPr>
            <w:tcW w:w="1701" w:type="dxa"/>
            <w:shd w:val="clear" w:color="auto" w:fill="43B02A"/>
            <w:vAlign w:val="center"/>
          </w:tcPr>
          <w:p w14:paraId="4AD80BBF" w14:textId="7777777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5D4772FB" w14:textId="5795B1EC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1912E3CC" w14:textId="5E41E687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04B9D012" w14:textId="331B7939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676FF68A" w14:textId="4131F12E" w:rsidR="00704D08" w:rsidRPr="00C63555" w:rsidRDefault="00704D08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</w:tr>
      <w:tr w:rsidR="00694699" w14:paraId="167B3212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5A468F3F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F25B19" w14:textId="49B4405D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DA78B" w14:textId="1F7EF0AB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  <w:vAlign w:val="center"/>
          </w:tcPr>
          <w:p w14:paraId="0E317B0E" w14:textId="2F4CBBEE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A8FCB" w14:textId="7AFAA108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</w:tr>
      <w:tr w:rsidR="00694699" w14:paraId="15B62176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0F3C8F6B" w14:textId="2EFE5E41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</w:t>
            </w:r>
            <w:r w:rsidR="001F39EC">
              <w:rPr>
                <w:b/>
                <w:bCs/>
                <w:color w:val="FFFFFF"/>
              </w:rPr>
              <w:t>.</w:t>
            </w:r>
            <w:r w:rsidRPr="00C63555">
              <w:rPr>
                <w:b/>
                <w:bCs/>
                <w:color w:val="FFFFFF"/>
              </w:rPr>
              <w:t>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6BC29" w14:textId="42C7049B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D44E4" w14:textId="27E387EE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vAlign w:val="center"/>
          </w:tcPr>
          <w:p w14:paraId="3BC8AA0F" w14:textId="3272A7BC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0C304" w14:textId="693068C4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</w:tr>
      <w:tr w:rsidR="00694699" w14:paraId="3CC72564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072E5768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BD25A" w14:textId="2C34372F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21888E" w14:textId="2CF6528C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vAlign w:val="center"/>
          </w:tcPr>
          <w:p w14:paraId="0C80A2D4" w14:textId="5255A523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3606E" w14:textId="1D73B148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A</w:t>
            </w:r>
          </w:p>
        </w:tc>
      </w:tr>
      <w:tr w:rsidR="00694699" w14:paraId="6A04E154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3EF24778" w14:textId="1B9C4DB3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</w:t>
            </w:r>
            <w:r w:rsidR="001F39EC">
              <w:rPr>
                <w:b/>
                <w:bCs/>
                <w:color w:val="FFFFFF"/>
              </w:rPr>
              <w:t>.</w:t>
            </w:r>
            <w:r w:rsidRPr="00C63555">
              <w:rPr>
                <w:b/>
                <w:bCs/>
                <w:color w:val="FFFFFF"/>
              </w:rPr>
              <w:t>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C8DC6" w14:textId="0A7BDAF9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C7D433" w14:textId="38BBF1FB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12247854" w14:textId="15A6EA90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8F327" w14:textId="5D7A21BE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B</w:t>
            </w:r>
          </w:p>
        </w:tc>
      </w:tr>
      <w:tr w:rsidR="00694699" w14:paraId="190DC8A3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58453C44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5D3FE" w14:textId="4DB9B3A0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2A892" w14:textId="19F61D22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51498EBA" w14:textId="4D9ED85C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55D6D" w14:textId="47762764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C</w:t>
            </w:r>
          </w:p>
        </w:tc>
      </w:tr>
      <w:tr w:rsidR="00694699" w14:paraId="0C8468A5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40D6C4DF" w14:textId="5F5B2238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</w:t>
            </w:r>
            <w:r w:rsidR="001F39EC">
              <w:rPr>
                <w:b/>
                <w:bCs/>
                <w:color w:val="FFFFFF"/>
              </w:rPr>
              <w:t>.</w:t>
            </w:r>
            <w:r w:rsidRPr="00C63555">
              <w:rPr>
                <w:b/>
                <w:bCs/>
                <w:color w:val="FFFFFF"/>
              </w:rPr>
              <w:t>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B6692" w14:textId="0566E197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AAB46D" w14:textId="46A6B76A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74D874B7" w14:textId="4CDE00C0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027662" w14:textId="6569C9B3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  <w:tr w:rsidR="00694699" w14:paraId="73CDF4C0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4EAF29A7" w14:textId="77777777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DCFD9" w14:textId="10E331AA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B8C0D" w14:textId="2DAF72CD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46B8AEDB" w14:textId="61F70399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8E31F" w14:textId="512CA916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  <w:tr w:rsidR="00694699" w14:paraId="3EF1AE01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3F335772" w14:textId="1F8FBEC3" w:rsidR="00694699" w:rsidRPr="00C63555" w:rsidRDefault="00694699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</w:t>
            </w:r>
            <w:r w:rsidR="001F39EC">
              <w:rPr>
                <w:b/>
                <w:bCs/>
                <w:color w:val="FFFFFF"/>
              </w:rPr>
              <w:t>.</w:t>
            </w:r>
            <w:r w:rsidRPr="00C63555">
              <w:rPr>
                <w:b/>
                <w:bCs/>
                <w:color w:val="FFFFFF"/>
              </w:rPr>
              <w:t>5 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E8742" w14:textId="250CB4A2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87B675" w14:textId="3CD71C45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vAlign w:val="center"/>
          </w:tcPr>
          <w:p w14:paraId="526F8B48" w14:textId="598FA182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F2EC3" w14:textId="3E33DAA8" w:rsidR="00694699" w:rsidRPr="00C63555" w:rsidRDefault="00694699" w:rsidP="004925B8">
            <w:pPr>
              <w:pStyle w:val="Lijstalinea"/>
              <w:ind w:left="0"/>
              <w:jc w:val="center"/>
            </w:pPr>
            <w:r>
              <w:t>D</w:t>
            </w:r>
          </w:p>
        </w:tc>
      </w:tr>
    </w:tbl>
    <w:p w14:paraId="3CB25BB3" w14:textId="77777777" w:rsidR="00704D08" w:rsidRDefault="00704D08" w:rsidP="00213292">
      <w:pPr>
        <w:pStyle w:val="Kop3"/>
      </w:pPr>
    </w:p>
    <w:p w14:paraId="155550F6" w14:textId="77777777" w:rsidR="00704D08" w:rsidRDefault="00704D08" w:rsidP="00213292">
      <w:pPr>
        <w:pStyle w:val="Kop3"/>
      </w:pPr>
    </w:p>
    <w:p w14:paraId="476024B0" w14:textId="77777777" w:rsidR="00704D08" w:rsidRDefault="00704D08" w:rsidP="00213292">
      <w:pPr>
        <w:pStyle w:val="Kop3"/>
      </w:pPr>
    </w:p>
    <w:p w14:paraId="10C54986" w14:textId="77777777" w:rsidR="00694699" w:rsidRDefault="00694699" w:rsidP="00213292">
      <w:pPr>
        <w:pStyle w:val="Kop3"/>
      </w:pPr>
    </w:p>
    <w:p w14:paraId="1C5CEA5F" w14:textId="77777777" w:rsidR="00694699" w:rsidRDefault="00694699" w:rsidP="00213292">
      <w:pPr>
        <w:pStyle w:val="Kop3"/>
      </w:pPr>
    </w:p>
    <w:p w14:paraId="66EC0B6D" w14:textId="77777777" w:rsidR="00694699" w:rsidRDefault="00694699" w:rsidP="00213292">
      <w:pPr>
        <w:pStyle w:val="Kop3"/>
      </w:pPr>
    </w:p>
    <w:p w14:paraId="34E90849" w14:textId="0B659350" w:rsidR="00694699" w:rsidRDefault="000E0112" w:rsidP="00694699">
      <w:pPr>
        <w:pStyle w:val="Kop3"/>
      </w:pPr>
      <w:proofErr w:type="spellStart"/>
      <w:r>
        <w:t>Atten</w:t>
      </w:r>
      <w:r w:rsidR="006B6C46">
        <w:t>uation</w:t>
      </w:r>
      <w:proofErr w:type="spellEnd"/>
      <w:r w:rsidR="006B6C46">
        <w:t xml:space="preserve"> </w:t>
      </w:r>
      <w:proofErr w:type="spellStart"/>
      <w:r w:rsidR="006B6C46">
        <w:t>value</w:t>
      </w:r>
      <w:proofErr w:type="spellEnd"/>
    </w:p>
    <w:tbl>
      <w:tblPr>
        <w:tblStyle w:val="Tabelraster"/>
        <w:tblpPr w:leftFromText="141" w:rightFromText="141" w:vertAnchor="text" w:tblpY="1"/>
        <w:tblOverlap w:val="never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3B617A" w14:paraId="6DB11BF8" w14:textId="77777777" w:rsidTr="004925B8">
        <w:tc>
          <w:tcPr>
            <w:tcW w:w="1701" w:type="dxa"/>
            <w:shd w:val="clear" w:color="auto" w:fill="43B02A"/>
            <w:vAlign w:val="center"/>
          </w:tcPr>
          <w:p w14:paraId="6B6BD9F5" w14:textId="2FB908DC" w:rsidR="003B617A" w:rsidRPr="00C63555" w:rsidRDefault="003B617A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(in dB)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239577E7" w14:textId="6F3196CF" w:rsidR="003B617A" w:rsidRPr="00C63555" w:rsidRDefault="003B617A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3825A1F9" w14:textId="6FB10270" w:rsidR="003B617A" w:rsidRPr="00C63555" w:rsidRDefault="003B617A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16C3AB1F" w14:textId="15831391" w:rsidR="003B617A" w:rsidRPr="00C63555" w:rsidRDefault="003B617A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112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6B8879AF" w14:textId="0E8924C7" w:rsidR="003B617A" w:rsidRPr="00C63555" w:rsidRDefault="003B617A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Double Bank</w:t>
            </w:r>
            <w:r w:rsidR="00FF7656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150</w:t>
            </w:r>
          </w:p>
        </w:tc>
      </w:tr>
      <w:tr w:rsidR="00DD23F1" w14:paraId="6F5A8E0F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3E8ADA6D" w14:textId="7D78D161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Rw</w:t>
            </w:r>
            <w:proofErr w:type="spellEnd"/>
            <w:r>
              <w:rPr>
                <w:b/>
                <w:color w:val="FFFFFF"/>
              </w:rPr>
              <w:t xml:space="preserve"> (</w:t>
            </w:r>
            <w:proofErr w:type="spellStart"/>
            <w:r>
              <w:rPr>
                <w:b/>
                <w:color w:val="FFFFFF"/>
              </w:rPr>
              <w:t>C;Ctr</w:t>
            </w:r>
            <w:proofErr w:type="spellEnd"/>
            <w:r>
              <w:rPr>
                <w:b/>
                <w:color w:val="FFFFFF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A5FA3" w14:textId="76B125D7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14 (-1;-4)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63DA77" w14:textId="45346DC2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11 (0;-2)</w:t>
            </w:r>
          </w:p>
        </w:tc>
        <w:tc>
          <w:tcPr>
            <w:tcW w:w="1701" w:type="dxa"/>
            <w:vAlign w:val="center"/>
          </w:tcPr>
          <w:p w14:paraId="4AC0D096" w14:textId="11C7518A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17 (-1;-4)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0EDDA9" w14:textId="756EEE6B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15 (-1;-3)</w:t>
            </w:r>
          </w:p>
        </w:tc>
      </w:tr>
      <w:tr w:rsidR="00DD23F1" w14:paraId="6F48211A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0008C459" w14:textId="2F9ABF01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125 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13736" w14:textId="5FAB2EFD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5</w:t>
            </w:r>
            <w:r w:rsidR="001F39EC">
              <w:t>.</w:t>
            </w:r>
            <w: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00B42" w14:textId="5611CA9C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5</w:t>
            </w:r>
            <w:r w:rsidR="001F39EC">
              <w:t>.</w:t>
            </w:r>
            <w:r>
              <w:t>1</w:t>
            </w:r>
          </w:p>
        </w:tc>
        <w:tc>
          <w:tcPr>
            <w:tcW w:w="1701" w:type="dxa"/>
            <w:vAlign w:val="center"/>
          </w:tcPr>
          <w:p w14:paraId="300C8ED0" w14:textId="46C7FF30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6</w:t>
            </w:r>
            <w:r w:rsidR="001F39EC">
              <w:t>.</w:t>
            </w:r>
            <w: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CF7F00" w14:textId="684B5471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6</w:t>
            </w:r>
            <w:r w:rsidR="001F39EC">
              <w:t>.</w:t>
            </w:r>
            <w:r>
              <w:t>0</w:t>
            </w:r>
          </w:p>
        </w:tc>
      </w:tr>
      <w:tr w:rsidR="00DD23F1" w14:paraId="393ECE46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3D2AD742" w14:textId="7A345762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250 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0DFB6" w14:textId="11D5EA8C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4</w:t>
            </w:r>
            <w:r w:rsidR="001F39EC">
              <w:t>.</w:t>
            </w:r>
            <w: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30FB3" w14:textId="7B5C3F5A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4</w:t>
            </w:r>
            <w:r w:rsidR="001F39EC">
              <w:t>.</w:t>
            </w:r>
            <w:r>
              <w:t>3</w:t>
            </w:r>
          </w:p>
        </w:tc>
        <w:tc>
          <w:tcPr>
            <w:tcW w:w="1701" w:type="dxa"/>
            <w:vAlign w:val="center"/>
          </w:tcPr>
          <w:p w14:paraId="18DE23EA" w14:textId="558655FF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5</w:t>
            </w:r>
            <w:r w:rsidR="001F39EC">
              <w:t>.</w:t>
            </w: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49257" w14:textId="53369999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4</w:t>
            </w:r>
            <w:r w:rsidR="001F39EC">
              <w:t>.</w:t>
            </w:r>
            <w:r>
              <w:t>6</w:t>
            </w:r>
          </w:p>
        </w:tc>
      </w:tr>
      <w:tr w:rsidR="00DD23F1" w14:paraId="16669821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397C35E3" w14:textId="0F0F0374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500 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C12DD" w14:textId="141A3A28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7</w:t>
            </w:r>
            <w:r w:rsidR="001F39EC">
              <w:t>.</w:t>
            </w: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DC9A7A" w14:textId="250EB6FC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6</w:t>
            </w:r>
            <w:r w:rsidR="001F39EC">
              <w:t>.</w:t>
            </w:r>
            <w:r>
              <w:t>2</w:t>
            </w:r>
          </w:p>
        </w:tc>
        <w:tc>
          <w:tcPr>
            <w:tcW w:w="1701" w:type="dxa"/>
            <w:vAlign w:val="center"/>
          </w:tcPr>
          <w:p w14:paraId="001F0D45" w14:textId="3A340AA0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10</w:t>
            </w:r>
            <w:r w:rsidR="001F39EC">
              <w:t>.</w:t>
            </w:r>
            <w: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CC677" w14:textId="041F4B07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9</w:t>
            </w:r>
            <w:r w:rsidR="001F39EC">
              <w:t>.</w:t>
            </w:r>
            <w:r>
              <w:t>0</w:t>
            </w:r>
          </w:p>
        </w:tc>
      </w:tr>
      <w:tr w:rsidR="00DD23F1" w14:paraId="4275F30C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78E6E421" w14:textId="11899710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1000 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AC464" w14:textId="42D6D302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14</w:t>
            </w:r>
            <w:r w:rsidR="001F39EC">
              <w:t>.</w:t>
            </w:r>
            <w: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DD1AA7" w14:textId="65F42ED8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12</w:t>
            </w:r>
            <w:r w:rsidR="001F39EC">
              <w:t>.</w:t>
            </w:r>
            <w:r>
              <w:t>5</w:t>
            </w:r>
          </w:p>
        </w:tc>
        <w:tc>
          <w:tcPr>
            <w:tcW w:w="1701" w:type="dxa"/>
            <w:vAlign w:val="center"/>
          </w:tcPr>
          <w:p w14:paraId="525448D7" w14:textId="57390AB6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21</w:t>
            </w:r>
            <w:r w:rsidR="001F39EC">
              <w:t>.</w:t>
            </w:r>
            <w: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7B4796" w14:textId="7F5539F6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18</w:t>
            </w:r>
            <w:r w:rsidR="001F39EC">
              <w:t>.</w:t>
            </w:r>
            <w:r>
              <w:t>5</w:t>
            </w:r>
          </w:p>
        </w:tc>
      </w:tr>
      <w:tr w:rsidR="00DD23F1" w14:paraId="01128C44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41F9FDFC" w14:textId="339540F9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2000 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1723B" w14:textId="4D3551FF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21</w:t>
            </w:r>
            <w:r w:rsidR="001F39EC">
              <w:t>.</w:t>
            </w: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8186E" w14:textId="7A7C3116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14</w:t>
            </w:r>
            <w:r w:rsidR="001F39EC">
              <w:t>.</w:t>
            </w:r>
            <w:r>
              <w:t>0</w:t>
            </w:r>
          </w:p>
        </w:tc>
        <w:tc>
          <w:tcPr>
            <w:tcW w:w="1701" w:type="dxa"/>
            <w:vAlign w:val="center"/>
          </w:tcPr>
          <w:p w14:paraId="292DE305" w14:textId="4439D8E2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34</w:t>
            </w:r>
            <w:r w:rsidR="001F39EC">
              <w:t>.</w:t>
            </w: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AECFD" w14:textId="56223A26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23</w:t>
            </w:r>
            <w:r w:rsidR="001F39EC">
              <w:t>.</w:t>
            </w:r>
            <w:r>
              <w:t>7</w:t>
            </w:r>
          </w:p>
        </w:tc>
      </w:tr>
      <w:tr w:rsidR="00DD23F1" w14:paraId="7052CACF" w14:textId="77777777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3F9BC4D3" w14:textId="5DC36560" w:rsidR="00DD23F1" w:rsidRPr="00C63555" w:rsidRDefault="00DD23F1" w:rsidP="004925B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4000 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AAE5D" w14:textId="5C6C5DAA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17</w:t>
            </w:r>
            <w:r w:rsidR="001F39EC">
              <w:t>.</w:t>
            </w: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017AD" w14:textId="200B49A2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11</w:t>
            </w:r>
            <w:r w:rsidR="001F39EC">
              <w:t>.</w:t>
            </w:r>
            <w:r>
              <w:t>9</w:t>
            </w:r>
          </w:p>
        </w:tc>
        <w:tc>
          <w:tcPr>
            <w:tcW w:w="1701" w:type="dxa"/>
            <w:vAlign w:val="center"/>
          </w:tcPr>
          <w:p w14:paraId="1E792549" w14:textId="69BBC74E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27</w:t>
            </w:r>
            <w:r w:rsidR="001F39EC">
              <w:t>.</w:t>
            </w: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82867" w14:textId="3B3ABE53" w:rsidR="00DD23F1" w:rsidRPr="00C63555" w:rsidRDefault="00DD23F1" w:rsidP="004925B8">
            <w:pPr>
              <w:pStyle w:val="Lijstalinea"/>
              <w:ind w:left="0"/>
              <w:jc w:val="center"/>
            </w:pPr>
            <w:r>
              <w:t>20</w:t>
            </w:r>
            <w:r w:rsidR="001F39EC">
              <w:t>.</w:t>
            </w:r>
            <w:r>
              <w:t>2</w:t>
            </w:r>
          </w:p>
        </w:tc>
      </w:tr>
    </w:tbl>
    <w:p w14:paraId="142AB915" w14:textId="77777777" w:rsidR="00694699" w:rsidRDefault="00694699" w:rsidP="00213292">
      <w:pPr>
        <w:pStyle w:val="Kop3"/>
      </w:pPr>
    </w:p>
    <w:p w14:paraId="4042D7BF" w14:textId="77777777" w:rsidR="007263AF" w:rsidRDefault="007263AF">
      <w:pPr>
        <w:rPr>
          <w:rFonts w:eastAsiaTheme="majorEastAsia" w:cstheme="majorBidi"/>
          <w:b/>
          <w:bCs/>
          <w:color w:val="54AF2E"/>
        </w:rPr>
      </w:pPr>
      <w:r>
        <w:br w:type="page"/>
      </w:r>
    </w:p>
    <w:p w14:paraId="1C8446DF" w14:textId="7C08A625" w:rsidR="00213292" w:rsidRDefault="006B6C46" w:rsidP="00213292">
      <w:pPr>
        <w:pStyle w:val="Kop3"/>
      </w:pPr>
      <w:r>
        <w:t xml:space="preserve">Impact </w:t>
      </w:r>
      <w:proofErr w:type="spellStart"/>
      <w:r>
        <w:t>resistance</w:t>
      </w:r>
      <w:proofErr w:type="spellEnd"/>
      <w:r w:rsidR="00C717B3">
        <w:t>*</w:t>
      </w:r>
    </w:p>
    <w:tbl>
      <w:tblPr>
        <w:tblStyle w:val="Tabelraster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F55BFA" w:rsidRPr="000E0112" w14:paraId="160D7451" w14:textId="26AFADAD" w:rsidTr="00F55BFA">
        <w:trPr>
          <w:trHeight w:val="510"/>
        </w:trPr>
        <w:tc>
          <w:tcPr>
            <w:tcW w:w="1701" w:type="dxa"/>
            <w:shd w:val="clear" w:color="auto" w:fill="43B02A"/>
            <w:vAlign w:val="center"/>
          </w:tcPr>
          <w:p w14:paraId="7C99DA0D" w14:textId="6934B48A" w:rsidR="004863B0" w:rsidRDefault="006B6C46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</w:t>
            </w:r>
          </w:p>
        </w:tc>
        <w:tc>
          <w:tcPr>
            <w:tcW w:w="3402" w:type="dxa"/>
            <w:shd w:val="clear" w:color="auto" w:fill="43B02A"/>
            <w:vAlign w:val="center"/>
          </w:tcPr>
          <w:p w14:paraId="3B08F8FF" w14:textId="02F76A83" w:rsidR="004863B0" w:rsidRDefault="00DB6004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Impa</w:t>
            </w:r>
            <w:r w:rsidR="00007DD3">
              <w:rPr>
                <w:b/>
                <w:bCs/>
                <w:color w:val="FFFFFF"/>
              </w:rPr>
              <w:t xml:space="preserve">ct </w:t>
            </w:r>
            <w:proofErr w:type="spellStart"/>
            <w:r w:rsidR="00007DD3">
              <w:rPr>
                <w:b/>
                <w:bCs/>
                <w:color w:val="FFFFFF"/>
              </w:rPr>
              <w:t>from</w:t>
            </w:r>
            <w:proofErr w:type="spellEnd"/>
            <w:r w:rsidR="00007DD3">
              <w:rPr>
                <w:b/>
                <w:bCs/>
                <w:color w:val="FFFFFF"/>
              </w:rPr>
              <w:t xml:space="preserve"> </w:t>
            </w:r>
            <w:proofErr w:type="spellStart"/>
            <w:r w:rsidR="00007DD3">
              <w:rPr>
                <w:b/>
                <w:bCs/>
                <w:color w:val="FFFFFF"/>
              </w:rPr>
              <w:t>the</w:t>
            </w:r>
            <w:proofErr w:type="spellEnd"/>
            <w:r w:rsidR="00007DD3">
              <w:rPr>
                <w:b/>
                <w:bCs/>
                <w:color w:val="FFFFFF"/>
              </w:rPr>
              <w:t xml:space="preserve"> front</w:t>
            </w:r>
          </w:p>
          <w:p w14:paraId="62452986" w14:textId="77777777" w:rsidR="009D272B" w:rsidRDefault="009D272B" w:rsidP="009D272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&amp; Double Bank</w:t>
            </w:r>
          </w:p>
          <w:p w14:paraId="7452582C" w14:textId="1256F730" w:rsidR="009D272B" w:rsidRPr="004863B0" w:rsidRDefault="009D272B" w:rsidP="009D272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112 &amp; 150</w:t>
            </w:r>
          </w:p>
        </w:tc>
        <w:tc>
          <w:tcPr>
            <w:tcW w:w="3402" w:type="dxa"/>
            <w:shd w:val="clear" w:color="auto" w:fill="43B02A"/>
            <w:vAlign w:val="center"/>
          </w:tcPr>
          <w:p w14:paraId="62B1B131" w14:textId="05EE4384" w:rsidR="004863B0" w:rsidRPr="00536817" w:rsidRDefault="00DB6004" w:rsidP="002D210F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536817">
              <w:rPr>
                <w:b/>
                <w:bCs/>
                <w:color w:val="FFFFFF"/>
                <w:lang w:val="en-US"/>
              </w:rPr>
              <w:t xml:space="preserve">Impact </w:t>
            </w:r>
            <w:r w:rsidR="00007DD3">
              <w:rPr>
                <w:b/>
                <w:bCs/>
                <w:color w:val="FFFFFF"/>
                <w:lang w:val="en-US"/>
              </w:rPr>
              <w:t>from the rear</w:t>
            </w:r>
          </w:p>
          <w:p w14:paraId="55E7909F" w14:textId="77777777" w:rsidR="009D272B" w:rsidRPr="00536817" w:rsidRDefault="009D272B" w:rsidP="009D272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536817">
              <w:rPr>
                <w:b/>
                <w:bCs/>
                <w:color w:val="FFFFFF"/>
                <w:lang w:val="en-US"/>
              </w:rPr>
              <w:t>Single &amp; Double Bank</w:t>
            </w:r>
          </w:p>
          <w:p w14:paraId="3CA69246" w14:textId="2FA40C37" w:rsidR="009D272B" w:rsidRPr="00536817" w:rsidRDefault="009D272B" w:rsidP="009D272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536817">
              <w:rPr>
                <w:b/>
                <w:bCs/>
                <w:color w:val="FFFFFF"/>
                <w:lang w:val="en-US"/>
              </w:rPr>
              <w:t>112 &amp; 150</w:t>
            </w:r>
          </w:p>
        </w:tc>
      </w:tr>
      <w:tr w:rsidR="00F55BFA" w14:paraId="36A7388F" w14:textId="4E38FDE3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5C3A2CA4" w14:textId="2B85C37A" w:rsidR="00163A6A" w:rsidRPr="00C63555" w:rsidRDefault="00163A6A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EN 13049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5514AB" w14:textId="0DADCBD7" w:rsidR="00163A6A" w:rsidRDefault="00163A6A" w:rsidP="00163A6A">
            <w:pPr>
              <w:pStyle w:val="Lijstalinea"/>
              <w:ind w:left="0"/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14:paraId="7B70BB89" w14:textId="1AD6B3D3" w:rsidR="00163A6A" w:rsidRDefault="00163A6A" w:rsidP="00642002">
            <w:pPr>
              <w:pStyle w:val="Lijstalinea"/>
              <w:ind w:left="0"/>
              <w:jc w:val="center"/>
            </w:pPr>
            <w:r>
              <w:t>5</w:t>
            </w:r>
          </w:p>
        </w:tc>
      </w:tr>
      <w:tr w:rsidR="00F55BFA" w14:paraId="2BE0D9FB" w14:textId="4295C029" w:rsidTr="004925B8">
        <w:trPr>
          <w:trHeight w:val="340"/>
        </w:trPr>
        <w:tc>
          <w:tcPr>
            <w:tcW w:w="1701" w:type="dxa"/>
            <w:shd w:val="clear" w:color="auto" w:fill="43B02A"/>
            <w:vAlign w:val="center"/>
          </w:tcPr>
          <w:p w14:paraId="4831A6FB" w14:textId="7B970C27" w:rsidR="00163A6A" w:rsidRPr="00C63555" w:rsidRDefault="00163A6A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NF P08-302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9B84F5" w14:textId="17804AE6" w:rsidR="00163A6A" w:rsidRDefault="00163A6A" w:rsidP="00163A6A">
            <w:pPr>
              <w:pStyle w:val="Lijstalinea"/>
              <w:ind w:left="0"/>
              <w:jc w:val="center"/>
            </w:pPr>
            <w:r>
              <w:t>H2</w:t>
            </w:r>
          </w:p>
        </w:tc>
        <w:tc>
          <w:tcPr>
            <w:tcW w:w="3402" w:type="dxa"/>
            <w:vAlign w:val="center"/>
          </w:tcPr>
          <w:p w14:paraId="05F9BC57" w14:textId="7EA267E7" w:rsidR="00163A6A" w:rsidRDefault="00163A6A" w:rsidP="00642002">
            <w:pPr>
              <w:pStyle w:val="Lijstalinea"/>
              <w:ind w:left="0"/>
              <w:jc w:val="center"/>
            </w:pPr>
            <w:r>
              <w:t>C2</w:t>
            </w:r>
          </w:p>
        </w:tc>
      </w:tr>
    </w:tbl>
    <w:p w14:paraId="4D52205C" w14:textId="4EADB9A2" w:rsidR="001F6C3D" w:rsidRPr="00007DD3" w:rsidRDefault="001F6C3D" w:rsidP="001F6C3D">
      <w:pPr>
        <w:rPr>
          <w:lang w:val="en-US"/>
        </w:rPr>
      </w:pPr>
      <w:r w:rsidRPr="00007DD3">
        <w:rPr>
          <w:lang w:val="en-US"/>
        </w:rPr>
        <w:t xml:space="preserve">* </w:t>
      </w:r>
      <w:r w:rsidR="00007DD3" w:rsidRPr="00007DD3">
        <w:rPr>
          <w:lang w:val="en-US"/>
        </w:rPr>
        <w:t>Additional mounting of 2 fall-thr</w:t>
      </w:r>
      <w:r w:rsidR="00007DD3">
        <w:rPr>
          <w:lang w:val="en-US"/>
        </w:rPr>
        <w:t>ough protection brackets per blade</w:t>
      </w:r>
      <w:r w:rsidRPr="00007DD3">
        <w:rPr>
          <w:lang w:val="en-US"/>
        </w:rPr>
        <w:t>.</w:t>
      </w:r>
    </w:p>
    <w:p w14:paraId="6C173E02" w14:textId="4E18CFF4" w:rsidR="00213292" w:rsidRDefault="00AD2A90" w:rsidP="00213292">
      <w:pPr>
        <w:pStyle w:val="Kop3"/>
      </w:pPr>
      <w:proofErr w:type="spellStart"/>
      <w:r>
        <w:t>Fall-through</w:t>
      </w:r>
      <w:proofErr w:type="spellEnd"/>
      <w:r>
        <w:t xml:space="preserve"> </w:t>
      </w:r>
      <w:proofErr w:type="spellStart"/>
      <w:r>
        <w:t>protection</w:t>
      </w:r>
      <w:proofErr w:type="spellEnd"/>
      <w:r w:rsidR="00C717B3">
        <w:t>*</w:t>
      </w:r>
    </w:p>
    <w:tbl>
      <w:tblPr>
        <w:tblStyle w:val="Tabelraster"/>
        <w:tblW w:w="5726" w:type="dxa"/>
        <w:tblLayout w:type="fixed"/>
        <w:tblLook w:val="04A0" w:firstRow="1" w:lastRow="0" w:firstColumn="1" w:lastColumn="0" w:noHBand="0" w:noVBand="1"/>
      </w:tblPr>
      <w:tblGrid>
        <w:gridCol w:w="2268"/>
        <w:gridCol w:w="3458"/>
      </w:tblGrid>
      <w:tr w:rsidR="00C717B3" w14:paraId="38F154A0" w14:textId="77777777" w:rsidTr="00F55BFA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661C101D" w14:textId="247F5169" w:rsidR="00C717B3" w:rsidRDefault="00AD2A90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Class</w:t>
            </w:r>
          </w:p>
        </w:tc>
        <w:tc>
          <w:tcPr>
            <w:tcW w:w="3458" w:type="dxa"/>
            <w:shd w:val="clear" w:color="auto" w:fill="43B02A"/>
            <w:vAlign w:val="center"/>
          </w:tcPr>
          <w:p w14:paraId="4E52A577" w14:textId="77777777" w:rsidR="000954FA" w:rsidRDefault="009D272B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Single &amp; Double Bank</w:t>
            </w:r>
          </w:p>
          <w:p w14:paraId="5DA32045" w14:textId="64ADFF19" w:rsidR="009D272B" w:rsidRPr="004863B0" w:rsidRDefault="009D272B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112 &amp; 150</w:t>
            </w:r>
          </w:p>
        </w:tc>
      </w:tr>
      <w:tr w:rsidR="00C717B3" w14:paraId="53E3C153" w14:textId="77777777" w:rsidTr="004925B8">
        <w:trPr>
          <w:trHeight w:val="340"/>
        </w:trPr>
        <w:tc>
          <w:tcPr>
            <w:tcW w:w="2268" w:type="dxa"/>
            <w:shd w:val="clear" w:color="auto" w:fill="43B02A"/>
            <w:vAlign w:val="center"/>
          </w:tcPr>
          <w:p w14:paraId="1D484862" w14:textId="097983E3" w:rsidR="00C717B3" w:rsidRPr="00C63555" w:rsidRDefault="00C717B3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B03-004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90D8B4D" w14:textId="15E7BD5A" w:rsidR="00C717B3" w:rsidRDefault="00C717B3" w:rsidP="007E77D9">
            <w:pPr>
              <w:pStyle w:val="Lijstalinea"/>
              <w:ind w:left="0"/>
              <w:jc w:val="center"/>
            </w:pPr>
            <w:r>
              <w:t>A/B/C1-4/D</w:t>
            </w:r>
          </w:p>
        </w:tc>
      </w:tr>
      <w:tr w:rsidR="00C717B3" w14:paraId="2868F508" w14:textId="77777777" w:rsidTr="004925B8">
        <w:trPr>
          <w:trHeight w:val="340"/>
        </w:trPr>
        <w:tc>
          <w:tcPr>
            <w:tcW w:w="2268" w:type="dxa"/>
            <w:shd w:val="clear" w:color="auto" w:fill="43B02A"/>
            <w:vAlign w:val="center"/>
          </w:tcPr>
          <w:p w14:paraId="637C6378" w14:textId="501CDF23" w:rsidR="00C717B3" w:rsidRPr="00C63555" w:rsidRDefault="00C717B3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NEN-EN 1991-1-1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3600D606" w14:textId="1381ACE8" w:rsidR="00C717B3" w:rsidRDefault="00C717B3" w:rsidP="007E77D9">
            <w:pPr>
              <w:pStyle w:val="Lijstalinea"/>
              <w:ind w:left="0"/>
              <w:jc w:val="center"/>
            </w:pPr>
            <w:r>
              <w:t>A/B/F/G</w:t>
            </w:r>
          </w:p>
        </w:tc>
      </w:tr>
      <w:tr w:rsidR="00C717B3" w14:paraId="73C4A8DD" w14:textId="77777777" w:rsidTr="004925B8">
        <w:trPr>
          <w:trHeight w:val="340"/>
        </w:trPr>
        <w:tc>
          <w:tcPr>
            <w:tcW w:w="2268" w:type="dxa"/>
            <w:shd w:val="clear" w:color="auto" w:fill="43B02A"/>
            <w:vAlign w:val="center"/>
          </w:tcPr>
          <w:p w14:paraId="1B73AA0F" w14:textId="405CA111" w:rsidR="00C717B3" w:rsidRDefault="00C717B3" w:rsidP="007E77D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BS 6180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3F4FBF44" w14:textId="733B7F4F" w:rsidR="00C717B3" w:rsidRDefault="00C717B3" w:rsidP="007E77D9">
            <w:pPr>
              <w:pStyle w:val="Lijstalinea"/>
              <w:ind w:left="0"/>
              <w:jc w:val="center"/>
            </w:pPr>
            <w:r>
              <w:t>XI</w:t>
            </w:r>
          </w:p>
        </w:tc>
      </w:tr>
    </w:tbl>
    <w:p w14:paraId="77A34528" w14:textId="3AD2063B" w:rsidR="00E42153" w:rsidRPr="00AD2A90" w:rsidRDefault="001F6C3D" w:rsidP="007A274D">
      <w:pPr>
        <w:rPr>
          <w:lang w:val="en-US"/>
        </w:rPr>
      </w:pPr>
      <w:r w:rsidRPr="00007DD3">
        <w:rPr>
          <w:lang w:val="en-US"/>
        </w:rPr>
        <w:t xml:space="preserve">* </w:t>
      </w:r>
      <w:r w:rsidR="00007DD3" w:rsidRPr="00007DD3">
        <w:rPr>
          <w:lang w:val="en-US"/>
        </w:rPr>
        <w:t>Additional mounting of 2 fall-thr</w:t>
      </w:r>
      <w:r w:rsidR="00007DD3">
        <w:rPr>
          <w:lang w:val="en-US"/>
        </w:rPr>
        <w:t>ough protection brackets per blade</w:t>
      </w:r>
      <w:r w:rsidR="00007DD3" w:rsidRPr="00007DD3">
        <w:rPr>
          <w:lang w:val="en-US"/>
        </w:rPr>
        <w:t>.</w:t>
      </w:r>
    </w:p>
    <w:p w14:paraId="6FAAF7B0" w14:textId="77777777" w:rsidR="00C63555" w:rsidRPr="001B5254" w:rsidRDefault="00C63555" w:rsidP="001D6DEB">
      <w:pPr>
        <w:spacing w:after="0" w:line="120" w:lineRule="auto"/>
        <w:contextualSpacing/>
        <w:rPr>
          <w:sz w:val="2"/>
          <w:szCs w:val="2"/>
          <w:lang w:val="en-US"/>
        </w:rPr>
      </w:pPr>
    </w:p>
    <w:sectPr w:rsidR="00C63555" w:rsidRPr="001B5254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3A108" w14:textId="77777777" w:rsidR="003705D3" w:rsidRDefault="003705D3" w:rsidP="00584936">
      <w:pPr>
        <w:spacing w:after="0" w:line="240" w:lineRule="auto"/>
      </w:pPr>
      <w:r>
        <w:separator/>
      </w:r>
    </w:p>
  </w:endnote>
  <w:endnote w:type="continuationSeparator" w:id="0">
    <w:p w14:paraId="3E07A4EE" w14:textId="77777777" w:rsidR="003705D3" w:rsidRDefault="003705D3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E1B5F" w14:textId="77777777" w:rsidR="003705D3" w:rsidRDefault="003705D3" w:rsidP="00584936">
      <w:pPr>
        <w:spacing w:after="0" w:line="240" w:lineRule="auto"/>
      </w:pPr>
      <w:r>
        <w:separator/>
      </w:r>
    </w:p>
  </w:footnote>
  <w:footnote w:type="continuationSeparator" w:id="0">
    <w:p w14:paraId="40038161" w14:textId="77777777" w:rsidR="003705D3" w:rsidRDefault="003705D3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1B5254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1B5254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1B5254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9"/>
  </w:num>
  <w:num w:numId="21" w16cid:durableId="1993635232">
    <w:abstractNumId w:val="15"/>
  </w:num>
  <w:num w:numId="22" w16cid:durableId="1706254077">
    <w:abstractNumId w:val="18"/>
  </w:num>
  <w:num w:numId="23" w16cid:durableId="12366296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7DD3"/>
    <w:rsid w:val="00012405"/>
    <w:rsid w:val="0002179D"/>
    <w:rsid w:val="0002189F"/>
    <w:rsid w:val="000309BB"/>
    <w:rsid w:val="000603D6"/>
    <w:rsid w:val="00082990"/>
    <w:rsid w:val="000954FA"/>
    <w:rsid w:val="000974F5"/>
    <w:rsid w:val="000A4893"/>
    <w:rsid w:val="000B341C"/>
    <w:rsid w:val="000B4133"/>
    <w:rsid w:val="000B5F69"/>
    <w:rsid w:val="000D78C8"/>
    <w:rsid w:val="000E0112"/>
    <w:rsid w:val="000F6049"/>
    <w:rsid w:val="000F6BCF"/>
    <w:rsid w:val="0010196E"/>
    <w:rsid w:val="00101FAF"/>
    <w:rsid w:val="00125578"/>
    <w:rsid w:val="0014154C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154D"/>
    <w:rsid w:val="0019366E"/>
    <w:rsid w:val="001A06DA"/>
    <w:rsid w:val="001B3290"/>
    <w:rsid w:val="001B5254"/>
    <w:rsid w:val="001D6DEB"/>
    <w:rsid w:val="001F39EC"/>
    <w:rsid w:val="001F3D5F"/>
    <w:rsid w:val="001F4188"/>
    <w:rsid w:val="001F6C3D"/>
    <w:rsid w:val="001F7243"/>
    <w:rsid w:val="002027A1"/>
    <w:rsid w:val="002027D1"/>
    <w:rsid w:val="002047D0"/>
    <w:rsid w:val="00213292"/>
    <w:rsid w:val="00222F29"/>
    <w:rsid w:val="00230367"/>
    <w:rsid w:val="002364D9"/>
    <w:rsid w:val="002539E9"/>
    <w:rsid w:val="0027232C"/>
    <w:rsid w:val="00275E77"/>
    <w:rsid w:val="002A46E2"/>
    <w:rsid w:val="002B02C6"/>
    <w:rsid w:val="002D210F"/>
    <w:rsid w:val="002D28BD"/>
    <w:rsid w:val="002D2A9D"/>
    <w:rsid w:val="002E26E7"/>
    <w:rsid w:val="00306BA4"/>
    <w:rsid w:val="00355C3C"/>
    <w:rsid w:val="0036316A"/>
    <w:rsid w:val="00364DCE"/>
    <w:rsid w:val="003705D3"/>
    <w:rsid w:val="003741A2"/>
    <w:rsid w:val="003A228F"/>
    <w:rsid w:val="003B5A19"/>
    <w:rsid w:val="003B5C75"/>
    <w:rsid w:val="003B617A"/>
    <w:rsid w:val="00434DFD"/>
    <w:rsid w:val="00436303"/>
    <w:rsid w:val="00442DB3"/>
    <w:rsid w:val="0044389B"/>
    <w:rsid w:val="004863B0"/>
    <w:rsid w:val="004901CD"/>
    <w:rsid w:val="004925B8"/>
    <w:rsid w:val="0049675F"/>
    <w:rsid w:val="004A6709"/>
    <w:rsid w:val="004A71B1"/>
    <w:rsid w:val="004B10FD"/>
    <w:rsid w:val="004D720C"/>
    <w:rsid w:val="004E7170"/>
    <w:rsid w:val="004F4421"/>
    <w:rsid w:val="004F5036"/>
    <w:rsid w:val="00515344"/>
    <w:rsid w:val="00522424"/>
    <w:rsid w:val="00522F42"/>
    <w:rsid w:val="00531842"/>
    <w:rsid w:val="00536817"/>
    <w:rsid w:val="00584936"/>
    <w:rsid w:val="005950EA"/>
    <w:rsid w:val="005C0FF6"/>
    <w:rsid w:val="005C3A68"/>
    <w:rsid w:val="005F05CA"/>
    <w:rsid w:val="00607025"/>
    <w:rsid w:val="00632F30"/>
    <w:rsid w:val="00642002"/>
    <w:rsid w:val="00642AFD"/>
    <w:rsid w:val="00685C6F"/>
    <w:rsid w:val="00694699"/>
    <w:rsid w:val="006A026B"/>
    <w:rsid w:val="006B03E9"/>
    <w:rsid w:val="006B6C46"/>
    <w:rsid w:val="006C07B8"/>
    <w:rsid w:val="006E666C"/>
    <w:rsid w:val="006F0662"/>
    <w:rsid w:val="006F2EC0"/>
    <w:rsid w:val="006F5C57"/>
    <w:rsid w:val="00704D08"/>
    <w:rsid w:val="007263AF"/>
    <w:rsid w:val="00737673"/>
    <w:rsid w:val="00737B72"/>
    <w:rsid w:val="007460C7"/>
    <w:rsid w:val="0077114E"/>
    <w:rsid w:val="00775812"/>
    <w:rsid w:val="00791124"/>
    <w:rsid w:val="007926B3"/>
    <w:rsid w:val="007A274D"/>
    <w:rsid w:val="007B3226"/>
    <w:rsid w:val="007B4030"/>
    <w:rsid w:val="007B618D"/>
    <w:rsid w:val="007C09B8"/>
    <w:rsid w:val="007D5206"/>
    <w:rsid w:val="00807143"/>
    <w:rsid w:val="00812C4F"/>
    <w:rsid w:val="00827759"/>
    <w:rsid w:val="0083226F"/>
    <w:rsid w:val="00834F7D"/>
    <w:rsid w:val="00837BC1"/>
    <w:rsid w:val="00843129"/>
    <w:rsid w:val="00864FF6"/>
    <w:rsid w:val="008831B5"/>
    <w:rsid w:val="008B3288"/>
    <w:rsid w:val="008D1CFA"/>
    <w:rsid w:val="008E518E"/>
    <w:rsid w:val="008E6ACC"/>
    <w:rsid w:val="008F001D"/>
    <w:rsid w:val="008F4242"/>
    <w:rsid w:val="00915B0E"/>
    <w:rsid w:val="00915D2C"/>
    <w:rsid w:val="00937C56"/>
    <w:rsid w:val="009532FF"/>
    <w:rsid w:val="009604A4"/>
    <w:rsid w:val="009A17EA"/>
    <w:rsid w:val="009D03FC"/>
    <w:rsid w:val="009D1646"/>
    <w:rsid w:val="009D16F0"/>
    <w:rsid w:val="009D272B"/>
    <w:rsid w:val="00A0750F"/>
    <w:rsid w:val="00A231A8"/>
    <w:rsid w:val="00A24D46"/>
    <w:rsid w:val="00A300C4"/>
    <w:rsid w:val="00A33E7A"/>
    <w:rsid w:val="00A701D7"/>
    <w:rsid w:val="00A7521E"/>
    <w:rsid w:val="00A769DD"/>
    <w:rsid w:val="00A83EF0"/>
    <w:rsid w:val="00A968CC"/>
    <w:rsid w:val="00AB1051"/>
    <w:rsid w:val="00AB70CA"/>
    <w:rsid w:val="00AC78B7"/>
    <w:rsid w:val="00AD2A90"/>
    <w:rsid w:val="00AD7489"/>
    <w:rsid w:val="00AE64A8"/>
    <w:rsid w:val="00AF216D"/>
    <w:rsid w:val="00B01720"/>
    <w:rsid w:val="00B10DC4"/>
    <w:rsid w:val="00B21D6F"/>
    <w:rsid w:val="00B33D5D"/>
    <w:rsid w:val="00B35C8E"/>
    <w:rsid w:val="00B41D43"/>
    <w:rsid w:val="00B468B6"/>
    <w:rsid w:val="00B54C5E"/>
    <w:rsid w:val="00B6076B"/>
    <w:rsid w:val="00B913E5"/>
    <w:rsid w:val="00B95E56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112A3"/>
    <w:rsid w:val="00C14EE5"/>
    <w:rsid w:val="00C15186"/>
    <w:rsid w:val="00C25E4C"/>
    <w:rsid w:val="00C26544"/>
    <w:rsid w:val="00C63555"/>
    <w:rsid w:val="00C679A4"/>
    <w:rsid w:val="00C717B3"/>
    <w:rsid w:val="00C76EBD"/>
    <w:rsid w:val="00CB5A3D"/>
    <w:rsid w:val="00CD5940"/>
    <w:rsid w:val="00D0178E"/>
    <w:rsid w:val="00D34B9C"/>
    <w:rsid w:val="00D35796"/>
    <w:rsid w:val="00D46A07"/>
    <w:rsid w:val="00D56A9A"/>
    <w:rsid w:val="00D60B2A"/>
    <w:rsid w:val="00D6677D"/>
    <w:rsid w:val="00D762B7"/>
    <w:rsid w:val="00D86F42"/>
    <w:rsid w:val="00D9760C"/>
    <w:rsid w:val="00DB6004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A3BDC"/>
    <w:rsid w:val="00EC6E2F"/>
    <w:rsid w:val="00ED011E"/>
    <w:rsid w:val="00F01670"/>
    <w:rsid w:val="00F136BB"/>
    <w:rsid w:val="00F2158A"/>
    <w:rsid w:val="00F310BC"/>
    <w:rsid w:val="00F310D0"/>
    <w:rsid w:val="00F3167A"/>
    <w:rsid w:val="00F51EBA"/>
    <w:rsid w:val="00F55BFA"/>
    <w:rsid w:val="00F67EC1"/>
    <w:rsid w:val="00FA04F0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7DD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11</TotalTime>
  <Pages>4</Pages>
  <Words>636</Words>
  <Characters>2649</Characters>
  <Application>Microsoft Office Word</Application>
  <DocSecurity>0</DocSecurity>
  <Lines>331</Lines>
  <Paragraphs>328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14</cp:revision>
  <cp:lastPrinted>2016-03-07T09:51:00Z</cp:lastPrinted>
  <dcterms:created xsi:type="dcterms:W3CDTF">2025-01-17T10:32:00Z</dcterms:created>
  <dcterms:modified xsi:type="dcterms:W3CDTF">2025-01-17T10:43:00Z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