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1D24" w14:textId="16E3D8DB" w:rsidR="003324E5" w:rsidRPr="00D6176F" w:rsidRDefault="00D6176F" w:rsidP="00E77F8F">
      <w:pPr>
        <w:pStyle w:val="Kop1"/>
        <w:tabs>
          <w:tab w:val="left" w:pos="6450"/>
        </w:tabs>
        <w:rPr>
          <w:lang w:val="fr-FR"/>
        </w:rPr>
      </w:pPr>
      <w:r w:rsidRPr="00D6176F">
        <w:rPr>
          <w:lang w:val="fr-FR"/>
        </w:rPr>
        <w:t>Cahier des charges</w:t>
      </w:r>
      <w:r w:rsidR="00860F0F" w:rsidRPr="00D6176F">
        <w:rPr>
          <w:lang w:val="fr-FR"/>
        </w:rPr>
        <w:t xml:space="preserve"> – </w:t>
      </w:r>
      <w:proofErr w:type="spellStart"/>
      <w:r w:rsidR="00860F0F" w:rsidRPr="00D6176F">
        <w:rPr>
          <w:lang w:val="fr-FR"/>
        </w:rPr>
        <w:t>Duco</w:t>
      </w:r>
      <w:r w:rsidR="00120CE8" w:rsidRPr="00D6176F">
        <w:rPr>
          <w:lang w:val="fr-FR"/>
        </w:rPr>
        <w:t>B</w:t>
      </w:r>
      <w:r w:rsidR="00860F0F" w:rsidRPr="00D6176F">
        <w:rPr>
          <w:lang w:val="fr-FR"/>
        </w:rPr>
        <w:t>ox</w:t>
      </w:r>
      <w:proofErr w:type="spellEnd"/>
      <w:r w:rsidR="00860F0F" w:rsidRPr="00D6176F">
        <w:rPr>
          <w:lang w:val="fr-FR"/>
        </w:rPr>
        <w:t xml:space="preserve"> Energy </w:t>
      </w:r>
      <w:r w:rsidR="00306625" w:rsidRPr="00D6176F">
        <w:rPr>
          <w:lang w:val="fr-FR"/>
        </w:rPr>
        <w:t>Sky</w:t>
      </w:r>
      <w:r w:rsidR="00B537F4" w:rsidRPr="00D6176F">
        <w:rPr>
          <w:lang w:val="fr-FR"/>
        </w:rPr>
        <w:t xml:space="preserve"> D</w:t>
      </w:r>
      <w:r w:rsidR="00306625" w:rsidRPr="00D6176F">
        <w:rPr>
          <w:lang w:val="fr-FR"/>
        </w:rPr>
        <w:t>275</w:t>
      </w:r>
    </w:p>
    <w:p w14:paraId="42B0515A" w14:textId="77777777" w:rsidR="00623AC4" w:rsidRPr="00D6176F" w:rsidRDefault="00623AC4" w:rsidP="00623AC4">
      <w:pPr>
        <w:rPr>
          <w:lang w:val="fr-FR"/>
        </w:rPr>
      </w:pPr>
    </w:p>
    <w:p w14:paraId="2233736D" w14:textId="406ACE5C" w:rsidR="00860F0F" w:rsidRPr="00D6176F" w:rsidRDefault="00D6176F" w:rsidP="00A0297F">
      <w:pPr>
        <w:pStyle w:val="Kop2"/>
        <w:rPr>
          <w:lang w:val="fr-FR"/>
        </w:rPr>
      </w:pPr>
      <w:r w:rsidRPr="00D6176F">
        <w:rPr>
          <w:lang w:val="fr-FR"/>
        </w:rPr>
        <w:t>Description du produit</w:t>
      </w:r>
    </w:p>
    <w:p w14:paraId="2384D2AA" w14:textId="70A184A8" w:rsidR="00D6176F" w:rsidRDefault="00D6176F" w:rsidP="00F04065">
      <w:pPr>
        <w:spacing w:after="0" w:line="240" w:lineRule="auto"/>
        <w:rPr>
          <w:lang w:val="fr-FR"/>
        </w:rPr>
      </w:pPr>
      <w:r w:rsidRPr="00D6176F">
        <w:rPr>
          <w:lang w:val="fr-FR"/>
        </w:rPr>
        <w:t xml:space="preserve">La </w:t>
      </w:r>
      <w:proofErr w:type="spellStart"/>
      <w:r w:rsidRPr="00D6176F">
        <w:rPr>
          <w:lang w:val="fr-FR"/>
        </w:rPr>
        <w:t>DucoBox</w:t>
      </w:r>
      <w:proofErr w:type="spellEnd"/>
      <w:r w:rsidRPr="00D6176F">
        <w:rPr>
          <w:lang w:val="fr-FR"/>
        </w:rPr>
        <w:t xml:space="preserve"> Energy Sky </w:t>
      </w:r>
      <w:proofErr w:type="spellStart"/>
      <w:r w:rsidRPr="00D6176F">
        <w:rPr>
          <w:lang w:val="fr-FR"/>
        </w:rPr>
        <w:t>avc</w:t>
      </w:r>
      <w:proofErr w:type="spellEnd"/>
      <w:r w:rsidRPr="00D6176F">
        <w:rPr>
          <w:lang w:val="fr-FR"/>
        </w:rPr>
        <w:t xml:space="preserve"> un débit de ventilation de 275</w:t>
      </w:r>
      <w:r>
        <w:rPr>
          <w:lang w:val="fr-FR"/>
        </w:rPr>
        <w:t> </w:t>
      </w:r>
      <w:r w:rsidRPr="00D6176F">
        <w:rPr>
          <w:lang w:val="fr-FR"/>
        </w:rPr>
        <w:t>m</w:t>
      </w:r>
      <w:r w:rsidRPr="00E355C7">
        <w:rPr>
          <w:vertAlign w:val="superscript"/>
          <w:lang w:val="fr-FR"/>
        </w:rPr>
        <w:t>3</w:t>
      </w:r>
      <w:r w:rsidRPr="00D6176F">
        <w:rPr>
          <w:lang w:val="fr-FR"/>
        </w:rPr>
        <w:t>/h a été spécialement développée pour le montage dans les locaux techniques compacts et les zones de stockage exiguës qu'on retrouve notamment dans les immeubles d'habitation.</w:t>
      </w:r>
    </w:p>
    <w:p w14:paraId="465EE327" w14:textId="77777777" w:rsidR="00D6176F" w:rsidRDefault="00D6176F" w:rsidP="00F04065">
      <w:pPr>
        <w:spacing w:after="0" w:line="240" w:lineRule="auto"/>
        <w:rPr>
          <w:lang w:val="fr-FR"/>
        </w:rPr>
      </w:pPr>
    </w:p>
    <w:p w14:paraId="482C777B" w14:textId="3E29A7B3" w:rsidR="00E355C7" w:rsidRDefault="00E355C7" w:rsidP="00F04065">
      <w:pPr>
        <w:spacing w:after="0" w:line="240" w:lineRule="auto"/>
        <w:rPr>
          <w:lang w:val="fr-FR"/>
        </w:rPr>
      </w:pPr>
      <w:r w:rsidRPr="00E355C7">
        <w:rPr>
          <w:lang w:val="fr-FR"/>
        </w:rPr>
        <w:t>Ce modèle de plafond léger complète parfaitement notre famille The Energy Family (VMC double flux) et, grâce à sa hauteur réduite de 30</w:t>
      </w:r>
      <w:r>
        <w:rPr>
          <w:lang w:val="fr-FR"/>
        </w:rPr>
        <w:t> </w:t>
      </w:r>
      <w:r w:rsidRPr="00E355C7">
        <w:rPr>
          <w:lang w:val="fr-FR"/>
        </w:rPr>
        <w:t>cm, s'intègre également parfaitement dans les plafonds suspendus.</w:t>
      </w:r>
      <w:r>
        <w:rPr>
          <w:lang w:val="fr-FR"/>
        </w:rPr>
        <w:t xml:space="preserve"> </w:t>
      </w:r>
      <w:r w:rsidRPr="00E355C7">
        <w:t xml:space="preserve">La VMC peut </w:t>
      </w:r>
      <w:proofErr w:type="spellStart"/>
      <w:r w:rsidRPr="00E355C7">
        <w:t>également</w:t>
      </w:r>
      <w:proofErr w:type="spellEnd"/>
      <w:r w:rsidRPr="00E355C7">
        <w:t xml:space="preserve"> </w:t>
      </w:r>
      <w:proofErr w:type="spellStart"/>
      <w:r w:rsidRPr="00E355C7">
        <w:t>être</w:t>
      </w:r>
      <w:proofErr w:type="spellEnd"/>
      <w:r w:rsidRPr="00E355C7">
        <w:t xml:space="preserve"> </w:t>
      </w:r>
      <w:proofErr w:type="spellStart"/>
      <w:r w:rsidRPr="00E355C7">
        <w:t>fixée</w:t>
      </w:r>
      <w:proofErr w:type="spellEnd"/>
      <w:r w:rsidRPr="00E355C7">
        <w:t xml:space="preserve"> au </w:t>
      </w:r>
      <w:proofErr w:type="spellStart"/>
      <w:r w:rsidRPr="00E355C7">
        <w:t>mur</w:t>
      </w:r>
      <w:proofErr w:type="spellEnd"/>
      <w:r w:rsidRPr="00E355C7">
        <w:t>.</w:t>
      </w:r>
    </w:p>
    <w:p w14:paraId="3CD3F1F9" w14:textId="77777777" w:rsidR="00E355C7" w:rsidRDefault="00E355C7" w:rsidP="00F04065">
      <w:pPr>
        <w:spacing w:after="0" w:line="240" w:lineRule="auto"/>
        <w:rPr>
          <w:lang w:val="fr-FR"/>
        </w:rPr>
      </w:pPr>
    </w:p>
    <w:p w14:paraId="0BC303B9" w14:textId="130DFEA8" w:rsidR="00E355C7" w:rsidRPr="00E355C7" w:rsidRDefault="00E355C7" w:rsidP="00F04065">
      <w:pPr>
        <w:spacing w:after="0" w:line="240" w:lineRule="auto"/>
        <w:rPr>
          <w:lang w:val="fr-FR"/>
        </w:rPr>
      </w:pPr>
      <w:r w:rsidRPr="00E355C7">
        <w:rPr>
          <w:lang w:val="fr-FR"/>
        </w:rPr>
        <w:t>Tous les avantages des autres VMC double flux ont été repris ici, notamment la possibilité d'une régulation à 2 zones via un clapet externe, le calibrage automatique, la fonction de copie, l'affichage '</w:t>
      </w:r>
      <w:proofErr w:type="spellStart"/>
      <w:r w:rsidRPr="00E355C7">
        <w:rPr>
          <w:lang w:val="fr-FR"/>
        </w:rPr>
        <w:t>headup</w:t>
      </w:r>
      <w:proofErr w:type="spellEnd"/>
      <w:r w:rsidRPr="00E355C7">
        <w:rPr>
          <w:lang w:val="fr-FR"/>
        </w:rPr>
        <w:t>', etc.</w:t>
      </w:r>
    </w:p>
    <w:p w14:paraId="6DDB64A4" w14:textId="77777777" w:rsidR="003628D6" w:rsidRPr="00F04065" w:rsidRDefault="003628D6" w:rsidP="003628D6">
      <w:pPr>
        <w:spacing w:after="0" w:line="240" w:lineRule="auto"/>
        <w:ind w:left="357"/>
      </w:pPr>
    </w:p>
    <w:p w14:paraId="743E8EAE" w14:textId="7320C47C" w:rsidR="00860F0F" w:rsidRDefault="00E355C7" w:rsidP="00A0297F">
      <w:pPr>
        <w:pStyle w:val="Kop2"/>
      </w:pPr>
      <w:proofErr w:type="spellStart"/>
      <w:r w:rsidRPr="00E355C7">
        <w:t>Équipement</w:t>
      </w:r>
      <w:proofErr w:type="spellEnd"/>
      <w:r w:rsidRPr="00E355C7">
        <w:t xml:space="preserve"> de </w:t>
      </w:r>
      <w:proofErr w:type="spellStart"/>
      <w:r w:rsidRPr="00E355C7">
        <w:t>l'unité</w:t>
      </w:r>
      <w:proofErr w:type="spellEnd"/>
    </w:p>
    <w:p w14:paraId="4BC9835A" w14:textId="76F46758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Le caisson est constitué de PPE combiné à une plaque frontale en polystyrène</w:t>
      </w:r>
    </w:p>
    <w:p w14:paraId="60A78F77" w14:textId="7D5A0889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Configuration des options de connexion entièrement interchangeables via le logiciel</w:t>
      </w:r>
    </w:p>
    <w:p w14:paraId="4F4B1BF0" w14:textId="7D843A2F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t xml:space="preserve">Double bypass </w:t>
      </w:r>
      <w:proofErr w:type="spellStart"/>
      <w:r w:rsidRPr="00E355C7">
        <w:t>d'été</w:t>
      </w:r>
      <w:proofErr w:type="spellEnd"/>
      <w:r w:rsidRPr="00E355C7">
        <w:t xml:space="preserve"> </w:t>
      </w:r>
      <w:r>
        <w:t xml:space="preserve">– </w:t>
      </w:r>
      <w:r w:rsidRPr="00E355C7">
        <w:t>100</w:t>
      </w:r>
      <w:r>
        <w:t> </w:t>
      </w:r>
      <w:r w:rsidRPr="00E355C7">
        <w:t xml:space="preserve">% </w:t>
      </w:r>
      <w:proofErr w:type="spellStart"/>
      <w:r w:rsidRPr="00E355C7">
        <w:t>modulant</w:t>
      </w:r>
      <w:proofErr w:type="spellEnd"/>
    </w:p>
    <w:p w14:paraId="17B67BB0" w14:textId="7451844D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 xml:space="preserve">Équipé d'un filtre dynamique sur l'entrée d'air, de type </w:t>
      </w:r>
      <w:proofErr w:type="spellStart"/>
      <w:r w:rsidRPr="00E355C7">
        <w:rPr>
          <w:lang w:val="fr-FR"/>
        </w:rPr>
        <w:t>Coarse</w:t>
      </w:r>
      <w:proofErr w:type="spellEnd"/>
      <w:r w:rsidRPr="00E355C7">
        <w:rPr>
          <w:lang w:val="fr-FR"/>
        </w:rPr>
        <w:t xml:space="preserve"> 65</w:t>
      </w:r>
      <w:r>
        <w:rPr>
          <w:lang w:val="fr-FR"/>
        </w:rPr>
        <w:t> </w:t>
      </w:r>
      <w:r w:rsidRPr="00E355C7">
        <w:rPr>
          <w:lang w:val="fr-FR"/>
        </w:rPr>
        <w:t>%</w:t>
      </w:r>
    </w:p>
    <w:p w14:paraId="62F979E0" w14:textId="511BA177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 xml:space="preserve">Équipé d'un filtre à débit d'air dynamique sur l'air extrait, de type </w:t>
      </w:r>
      <w:proofErr w:type="spellStart"/>
      <w:r w:rsidRPr="00E355C7">
        <w:rPr>
          <w:lang w:val="fr-FR"/>
        </w:rPr>
        <w:t>Coarse</w:t>
      </w:r>
      <w:proofErr w:type="spellEnd"/>
      <w:r w:rsidRPr="00E355C7">
        <w:rPr>
          <w:lang w:val="fr-FR"/>
        </w:rPr>
        <w:t xml:space="preserve"> 65</w:t>
      </w:r>
      <w:r>
        <w:rPr>
          <w:lang w:val="fr-FR"/>
        </w:rPr>
        <w:t> </w:t>
      </w:r>
      <w:r w:rsidRPr="00E355C7">
        <w:rPr>
          <w:lang w:val="fr-FR"/>
        </w:rPr>
        <w:t>%</w:t>
      </w:r>
    </w:p>
    <w:p w14:paraId="0ABE0782" w14:textId="090450B0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proofErr w:type="spellStart"/>
      <w:r w:rsidRPr="00E355C7">
        <w:t>Échangeur</w:t>
      </w:r>
      <w:proofErr w:type="spellEnd"/>
      <w:r w:rsidRPr="00E355C7">
        <w:t xml:space="preserve"> de </w:t>
      </w:r>
      <w:proofErr w:type="spellStart"/>
      <w:r w:rsidRPr="00E355C7">
        <w:t>chaleur</w:t>
      </w:r>
      <w:proofErr w:type="spellEnd"/>
      <w:r w:rsidRPr="00E355C7">
        <w:t xml:space="preserve"> en </w:t>
      </w:r>
      <w:proofErr w:type="spellStart"/>
      <w:r w:rsidRPr="00E355C7">
        <w:t>plastique</w:t>
      </w:r>
      <w:proofErr w:type="spellEnd"/>
    </w:p>
    <w:p w14:paraId="314FD173" w14:textId="665005A6" w:rsid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Protection contre le gel par déséquilibre ou par chauffage externe optionnel (à partir de Q1/2025)</w:t>
      </w:r>
    </w:p>
    <w:p w14:paraId="2639BDD1" w14:textId="27058912" w:rsid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Ventilateur EC avec pales courbées vers l’arrière</w:t>
      </w:r>
    </w:p>
    <w:p w14:paraId="5CF4EBAE" w14:textId="2367DCFC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proofErr w:type="spellStart"/>
      <w:r w:rsidRPr="00E355C7">
        <w:t>Contrôle</w:t>
      </w:r>
      <w:proofErr w:type="spellEnd"/>
      <w:r w:rsidRPr="00E355C7">
        <w:t xml:space="preserve"> </w:t>
      </w:r>
      <w:proofErr w:type="spellStart"/>
      <w:r w:rsidRPr="00E355C7">
        <w:t>automatique</w:t>
      </w:r>
      <w:proofErr w:type="spellEnd"/>
      <w:r w:rsidRPr="00E355C7">
        <w:t xml:space="preserve"> du </w:t>
      </w:r>
      <w:proofErr w:type="spellStart"/>
      <w:r w:rsidRPr="00E355C7">
        <w:t>refroidissement</w:t>
      </w:r>
      <w:proofErr w:type="spellEnd"/>
      <w:r w:rsidRPr="00E355C7">
        <w:t xml:space="preserve"> </w:t>
      </w:r>
      <w:proofErr w:type="spellStart"/>
      <w:r w:rsidRPr="00E355C7">
        <w:t>passif</w:t>
      </w:r>
      <w:proofErr w:type="spellEnd"/>
    </w:p>
    <w:p w14:paraId="791687EA" w14:textId="255D2314" w:rsid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Contrôle des débits en flux constant</w:t>
      </w:r>
    </w:p>
    <w:p w14:paraId="435ABF37" w14:textId="6661E47D" w:rsid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Calibrage automatique sous «pression constante»</w:t>
      </w:r>
    </w:p>
    <w:p w14:paraId="542D6BED" w14:textId="24E01321" w:rsid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Fonction copie pour construction en série</w:t>
      </w:r>
    </w:p>
    <w:p w14:paraId="17639431" w14:textId="6C00B01B" w:rsid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Contrôle à 2 zones optionnel sur l'entrée d'air via des vannes externes</w:t>
      </w:r>
    </w:p>
    <w:p w14:paraId="00836B80" w14:textId="77777777" w:rsidR="00E355C7" w:rsidRP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Commande par écran intégré et boutons de commande</w:t>
      </w:r>
    </w:p>
    <w:p w14:paraId="611DCA74" w14:textId="254FC69E" w:rsidR="00E355C7" w:rsidRDefault="00E355C7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E355C7">
        <w:rPr>
          <w:lang w:val="fr-FR"/>
        </w:rPr>
        <w:t>Fonctionnement via des commandes à distance et des capteurs muraux en option</w:t>
      </w:r>
    </w:p>
    <w:p w14:paraId="2B014118" w14:textId="2557B6C9" w:rsidR="00505E1F" w:rsidRDefault="00505E1F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505E1F">
        <w:rPr>
          <w:lang w:val="fr-FR"/>
        </w:rPr>
        <w:t>Configuration de l'unité via un assistant d'installation sur l'écran ou via smartphone</w:t>
      </w:r>
      <w:r>
        <w:rPr>
          <w:lang w:val="fr-FR"/>
        </w:rPr>
        <w:t> </w:t>
      </w:r>
      <w:r w:rsidRPr="00505E1F">
        <w:rPr>
          <w:lang w:val="fr-FR"/>
        </w:rPr>
        <w:t>/</w:t>
      </w:r>
      <w:r>
        <w:rPr>
          <w:lang w:val="fr-FR"/>
        </w:rPr>
        <w:t> </w:t>
      </w:r>
      <w:r w:rsidRPr="00505E1F">
        <w:rPr>
          <w:lang w:val="fr-FR"/>
        </w:rPr>
        <w:t>tablette</w:t>
      </w:r>
    </w:p>
    <w:p w14:paraId="373D6E73" w14:textId="666DA59D" w:rsidR="00505E1F" w:rsidRDefault="00505E1F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505E1F">
        <w:rPr>
          <w:lang w:val="fr-FR"/>
        </w:rPr>
        <w:t>Lien possible vers les systèmes de domotique et de gestion du Bâtiment via API REST (localement ou via le cloud) ou Modbus TCP (localement).</w:t>
      </w:r>
      <w:r w:rsidR="001E0E54">
        <w:rPr>
          <w:lang w:val="fr-FR"/>
        </w:rPr>
        <w:t xml:space="preserve"> </w:t>
      </w:r>
      <w:r w:rsidR="001E0E54" w:rsidRPr="001E0E54">
        <w:rPr>
          <w:lang w:val="fr-FR"/>
        </w:rPr>
        <w:t xml:space="preserve">Les deux sont possibles via Ethernet ou wifi (avec Duco Connectivity </w:t>
      </w:r>
      <w:proofErr w:type="spellStart"/>
      <w:r w:rsidR="001E0E54" w:rsidRPr="001E0E54">
        <w:rPr>
          <w:lang w:val="fr-FR"/>
        </w:rPr>
        <w:t>Board</w:t>
      </w:r>
      <w:proofErr w:type="spellEnd"/>
      <w:r w:rsidR="001E0E54" w:rsidRPr="001E0E54">
        <w:rPr>
          <w:lang w:val="fr-FR"/>
        </w:rPr>
        <w:t>)</w:t>
      </w:r>
    </w:p>
    <w:p w14:paraId="1C1E090D" w14:textId="0B6FB4C5" w:rsidR="001E0E54" w:rsidRDefault="001E0E54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1E0E54">
        <w:rPr>
          <w:lang w:val="fr-FR"/>
        </w:rPr>
        <w:t>Les supports de montage peuvent être fixé au choix sur le côté court ou le côté long de l'unité</w:t>
      </w:r>
    </w:p>
    <w:p w14:paraId="09CC6376" w14:textId="34749125" w:rsidR="001E0E54" w:rsidRDefault="001E0E54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1E0E54">
        <w:rPr>
          <w:lang w:val="fr-FR"/>
        </w:rPr>
        <w:t>Kit de montage pour drain de condensat Ø 32</w:t>
      </w:r>
      <w:r>
        <w:rPr>
          <w:lang w:val="fr-FR"/>
        </w:rPr>
        <w:t> </w:t>
      </w:r>
      <w:r w:rsidRPr="001E0E54">
        <w:rPr>
          <w:lang w:val="fr-FR"/>
        </w:rPr>
        <w:t>mm sans pré-perçage</w:t>
      </w:r>
    </w:p>
    <w:p w14:paraId="16D342CD" w14:textId="16AEBA61" w:rsidR="001E0E54" w:rsidRDefault="001E0E54" w:rsidP="00860F0F">
      <w:pPr>
        <w:pStyle w:val="Lijstalinea"/>
        <w:numPr>
          <w:ilvl w:val="0"/>
          <w:numId w:val="2"/>
        </w:numPr>
        <w:rPr>
          <w:lang w:val="fr-FR"/>
        </w:rPr>
      </w:pPr>
      <w:r w:rsidRPr="001E0E54">
        <w:rPr>
          <w:lang w:val="fr-FR"/>
        </w:rPr>
        <w:t>Couvercle avec zone de drainage intégrée permettant de monter l'appareil de niveau</w:t>
      </w:r>
    </w:p>
    <w:p w14:paraId="0FFB37F6" w14:textId="16069346" w:rsidR="00813D10" w:rsidRPr="001E0E54" w:rsidRDefault="001E0E54" w:rsidP="00842309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 w:rsidRPr="001E0E54">
        <w:rPr>
          <w:lang w:val="fr-FR"/>
        </w:rPr>
        <w:t>Fixation du couvercle sans vis pour un accès rapide pour entretien</w:t>
      </w:r>
    </w:p>
    <w:p w14:paraId="3135965F" w14:textId="07AD872D" w:rsidR="00B3308F" w:rsidRPr="001E0E54" w:rsidRDefault="00B3308F" w:rsidP="003D5B30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fr-FR"/>
        </w:rPr>
      </w:pPr>
      <w:r w:rsidRPr="001E0E54">
        <w:rPr>
          <w:rFonts w:ascii="Calibri" w:eastAsia="Calibri" w:hAnsi="Calibri" w:cs="Calibri"/>
          <w:color w:val="000000" w:themeColor="text1"/>
          <w:lang w:val="fr-FR"/>
        </w:rPr>
        <w:br w:type="page"/>
      </w:r>
    </w:p>
    <w:p w14:paraId="314186C8" w14:textId="720225E5" w:rsidR="00860F0F" w:rsidRDefault="001E0E54" w:rsidP="00A0297F">
      <w:pPr>
        <w:pStyle w:val="Kop2"/>
      </w:pPr>
      <w:proofErr w:type="spellStart"/>
      <w:r w:rsidRPr="001E0E54">
        <w:lastRenderedPageBreak/>
        <w:t>Caractéristiques</w:t>
      </w:r>
      <w:proofErr w:type="spellEnd"/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7BF8D173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1FDB58B4" w:rsidR="00B537F4" w:rsidRPr="009D1C7A" w:rsidRDefault="00B537F4" w:rsidP="009D1C7A">
            <w:pPr>
              <w:jc w:val="center"/>
            </w:pPr>
            <w:r>
              <w:t>D</w:t>
            </w:r>
            <w:r w:rsidR="00053733">
              <w:t>275</w:t>
            </w:r>
          </w:p>
        </w:tc>
      </w:tr>
      <w:tr w:rsidR="00B537F4" w:rsidRPr="009D1C7A" w14:paraId="62B1D99A" w14:textId="77777777" w:rsidTr="7BF8D173">
        <w:tc>
          <w:tcPr>
            <w:tcW w:w="2961" w:type="dxa"/>
          </w:tcPr>
          <w:p w14:paraId="1510F938" w14:textId="07372CF3" w:rsidR="00B537F4" w:rsidRPr="001E0E54" w:rsidRDefault="001E0E54" w:rsidP="009D1C7A">
            <w:pPr>
              <w:rPr>
                <w:lang w:val="fr-FR"/>
              </w:rPr>
            </w:pPr>
            <w:r w:rsidRPr="001E0E54">
              <w:rPr>
                <w:lang w:val="fr-FR"/>
              </w:rPr>
              <w:t>Capacité maximale d'entrée et d'extraction d'air à 200</w:t>
            </w:r>
            <w:r>
              <w:rPr>
                <w:lang w:val="fr-FR"/>
              </w:rPr>
              <w:t> </w:t>
            </w:r>
            <w:r w:rsidRPr="001E0E54">
              <w:rPr>
                <w:lang w:val="fr-FR"/>
              </w:rPr>
              <w:t>Pa</w:t>
            </w:r>
          </w:p>
        </w:tc>
        <w:tc>
          <w:tcPr>
            <w:tcW w:w="4678" w:type="dxa"/>
          </w:tcPr>
          <w:p w14:paraId="4CAEA30C" w14:textId="796EB036" w:rsidR="00B537F4" w:rsidRPr="00F65B57" w:rsidRDefault="00F65B57" w:rsidP="00375F09">
            <w:r w:rsidRPr="00F65B57">
              <w:t>275 </w:t>
            </w:r>
            <w:r w:rsidR="00B537F4" w:rsidRPr="00F65B57">
              <w:t>m³/h</w:t>
            </w:r>
          </w:p>
        </w:tc>
      </w:tr>
      <w:tr w:rsidR="00B537F4" w:rsidRPr="001E0E54" w14:paraId="1B340706" w14:textId="77777777" w:rsidTr="7BF8D173">
        <w:tc>
          <w:tcPr>
            <w:tcW w:w="2961" w:type="dxa"/>
          </w:tcPr>
          <w:p w14:paraId="69BB9340" w14:textId="5DFC3C97" w:rsidR="00B537F4" w:rsidRPr="00FD4E48" w:rsidRDefault="001E0E54" w:rsidP="009D1C7A">
            <w:r w:rsidRPr="001E0E54">
              <w:t xml:space="preserve">Label </w:t>
            </w:r>
            <w:proofErr w:type="spellStart"/>
            <w:r w:rsidRPr="001E0E54">
              <w:t>énergétique</w:t>
            </w:r>
            <w:proofErr w:type="spellEnd"/>
          </w:p>
        </w:tc>
        <w:tc>
          <w:tcPr>
            <w:tcW w:w="4678" w:type="dxa"/>
          </w:tcPr>
          <w:p w14:paraId="371AD397" w14:textId="34C0F8F5" w:rsidR="00B537F4" w:rsidRPr="001E0E54" w:rsidRDefault="00B537F4" w:rsidP="009D1C7A">
            <w:pPr>
              <w:rPr>
                <w:lang w:val="fr-FR"/>
              </w:rPr>
            </w:pPr>
            <w:r w:rsidRPr="001E0E54">
              <w:rPr>
                <w:lang w:val="fr-FR"/>
              </w:rPr>
              <w:t>A</w:t>
            </w:r>
            <w:r w:rsidR="008042C3" w:rsidRPr="001E0E54">
              <w:rPr>
                <w:lang w:val="fr-FR"/>
              </w:rPr>
              <w:t xml:space="preserve"> (</w:t>
            </w:r>
            <w:r w:rsidR="006759F5" w:rsidRPr="001E0E54">
              <w:rPr>
                <w:lang w:val="fr-FR"/>
              </w:rPr>
              <w:t>A</w:t>
            </w:r>
            <w:r w:rsidR="001E0E54" w:rsidRPr="001E0E54">
              <w:rPr>
                <w:lang w:val="fr-FR"/>
              </w:rPr>
              <w:t xml:space="preserve">+ </w:t>
            </w:r>
            <w:r w:rsidR="001E0E54" w:rsidRPr="001E0E54">
              <w:rPr>
                <w:lang w:val="fr-FR"/>
              </w:rPr>
              <w:t>en combinaison avec 2 capteurs)</w:t>
            </w:r>
          </w:p>
        </w:tc>
      </w:tr>
      <w:tr w:rsidR="00B537F4" w:rsidRPr="009D1C7A" w14:paraId="64DF3655" w14:textId="77777777" w:rsidTr="7BF8D173">
        <w:tc>
          <w:tcPr>
            <w:tcW w:w="2961" w:type="dxa"/>
          </w:tcPr>
          <w:p w14:paraId="356FE598" w14:textId="60F44254" w:rsidR="00B537F4" w:rsidRPr="00FD4E48" w:rsidRDefault="001E0E54" w:rsidP="009D1C7A">
            <w:r w:rsidRPr="001E0E54">
              <w:t xml:space="preserve">en </w:t>
            </w:r>
            <w:proofErr w:type="spellStart"/>
            <w:r w:rsidRPr="001E0E54">
              <w:t>combinaison</w:t>
            </w:r>
            <w:proofErr w:type="spellEnd"/>
            <w:r w:rsidRPr="001E0E54">
              <w:t xml:space="preserve"> </w:t>
            </w:r>
            <w:proofErr w:type="spellStart"/>
            <w:r w:rsidRPr="001E0E54">
              <w:t>avec</w:t>
            </w:r>
            <w:proofErr w:type="spellEnd"/>
            <w:r w:rsidRPr="001E0E54">
              <w:t xml:space="preserve"> 2 </w:t>
            </w:r>
            <w:proofErr w:type="spellStart"/>
            <w:r w:rsidRPr="001E0E54">
              <w:t>capteurs</w:t>
            </w:r>
            <w:proofErr w:type="spellEnd"/>
            <w:r w:rsidRPr="001E0E54">
              <w:t>)</w:t>
            </w:r>
          </w:p>
        </w:tc>
        <w:tc>
          <w:tcPr>
            <w:tcW w:w="4678" w:type="dxa"/>
          </w:tcPr>
          <w:p w14:paraId="15A1379D" w14:textId="369AD296" w:rsidR="00B537F4" w:rsidRPr="00FD4E48" w:rsidRDefault="00B537F4" w:rsidP="00375F09">
            <w:r w:rsidRPr="00FD4E48">
              <w:t>2</w:t>
            </w:r>
            <w:r w:rsidR="00CD363B">
              <w:t> </w:t>
            </w:r>
            <w:r w:rsidRPr="00FD4E48">
              <w:t>x</w:t>
            </w:r>
            <w:r w:rsidR="00CD363B">
              <w:t> </w:t>
            </w:r>
            <w:r w:rsidR="00FD4E48" w:rsidRPr="00FD4E48">
              <w:t>65</w:t>
            </w:r>
            <w:r w:rsidR="00CD363B">
              <w:t> </w:t>
            </w:r>
            <w:r w:rsidRPr="00FD4E48">
              <w:t>W</w:t>
            </w:r>
          </w:p>
        </w:tc>
      </w:tr>
      <w:tr w:rsidR="00B537F4" w:rsidRPr="009D1C7A" w14:paraId="1935F817" w14:textId="77777777" w:rsidTr="7BF8D173">
        <w:tc>
          <w:tcPr>
            <w:tcW w:w="2961" w:type="dxa"/>
          </w:tcPr>
          <w:p w14:paraId="15C1070F" w14:textId="5EBB6782" w:rsidR="00B537F4" w:rsidRPr="00531769" w:rsidRDefault="00531769" w:rsidP="009D1C7A">
            <w:pPr>
              <w:rPr>
                <w:lang w:val="fr-FR"/>
              </w:rPr>
            </w:pPr>
            <w:r w:rsidRPr="00531769">
              <w:rPr>
                <w:lang w:val="fr-FR"/>
              </w:rPr>
              <w:t>Émissions autour du</w:t>
            </w:r>
            <w:r w:rsidRPr="00531769">
              <w:rPr>
                <w:lang w:val="fr-FR"/>
              </w:rPr>
              <w:t xml:space="preserve"> caisson</w:t>
            </w:r>
            <w:r w:rsidR="00B537F4" w:rsidRPr="00531769">
              <w:rPr>
                <w:lang w:val="fr-FR"/>
              </w:rPr>
              <w:t xml:space="preserve"> </w:t>
            </w:r>
            <w:proofErr w:type="spellStart"/>
            <w:r w:rsidR="00B537F4" w:rsidRPr="00531769">
              <w:rPr>
                <w:lang w:val="fr-FR"/>
              </w:rPr>
              <w:t>L</w:t>
            </w:r>
            <w:r w:rsidR="00B537F4" w:rsidRPr="00531769">
              <w:rPr>
                <w:vertAlign w:val="subscript"/>
                <w:lang w:val="fr-FR"/>
              </w:rPr>
              <w:t>wa</w:t>
            </w:r>
            <w:proofErr w:type="spellEnd"/>
            <w:r w:rsidR="00B537F4" w:rsidRPr="00531769">
              <w:rPr>
                <w:lang w:val="fr-FR"/>
              </w:rPr>
              <w:t xml:space="preserve"> </w:t>
            </w:r>
            <w:r w:rsidR="004E6902" w:rsidRPr="00531769">
              <w:rPr>
                <w:lang w:val="fr-FR"/>
              </w:rPr>
              <w:t>275 m</w:t>
            </w:r>
            <w:r w:rsidR="004E6902" w:rsidRPr="00531769">
              <w:rPr>
                <w:vertAlign w:val="superscript"/>
                <w:lang w:val="fr-FR"/>
              </w:rPr>
              <w:t>3</w:t>
            </w:r>
            <w:r w:rsidR="004E6902" w:rsidRPr="00531769">
              <w:rPr>
                <w:lang w:val="fr-FR"/>
              </w:rPr>
              <w:t xml:space="preserve">/h </w:t>
            </w:r>
            <w:r>
              <w:rPr>
                <w:lang w:val="fr-FR"/>
              </w:rPr>
              <w:t>à</w:t>
            </w:r>
            <w:r w:rsidR="00B537F4" w:rsidRPr="00531769">
              <w:rPr>
                <w:lang w:val="fr-FR"/>
              </w:rPr>
              <w:t xml:space="preserve"> </w:t>
            </w:r>
            <w:r w:rsidR="002E71BA" w:rsidRPr="00531769">
              <w:rPr>
                <w:lang w:val="fr-FR"/>
              </w:rPr>
              <w:t>150</w:t>
            </w:r>
            <w:r w:rsidR="004E6902" w:rsidRPr="00531769">
              <w:rPr>
                <w:lang w:val="fr-FR"/>
              </w:rPr>
              <w:t> </w:t>
            </w:r>
            <w:r w:rsidR="002E71BA" w:rsidRPr="00531769">
              <w:rPr>
                <w:lang w:val="fr-FR"/>
              </w:rPr>
              <w:t>Pa</w:t>
            </w:r>
          </w:p>
        </w:tc>
        <w:tc>
          <w:tcPr>
            <w:tcW w:w="4678" w:type="dxa"/>
          </w:tcPr>
          <w:p w14:paraId="6753E99C" w14:textId="5C6C92E3" w:rsidR="00B537F4" w:rsidRPr="00864290" w:rsidRDefault="00871FCC" w:rsidP="009D1C7A">
            <w:r w:rsidRPr="00864290">
              <w:t>53,0 </w:t>
            </w:r>
            <w:r w:rsidR="00B537F4" w:rsidRPr="00864290">
              <w:t>dB(A)</w:t>
            </w:r>
          </w:p>
        </w:tc>
      </w:tr>
      <w:tr w:rsidR="00B537F4" w:rsidRPr="00531769" w14:paraId="7A42A91B" w14:textId="77777777" w:rsidTr="7BF8D173">
        <w:tc>
          <w:tcPr>
            <w:tcW w:w="2961" w:type="dxa"/>
          </w:tcPr>
          <w:p w14:paraId="78EE11D6" w14:textId="19F09E27" w:rsidR="00B537F4" w:rsidRDefault="00531769" w:rsidP="009D1C7A">
            <w:proofErr w:type="spellStart"/>
            <w:r w:rsidRPr="00531769">
              <w:t>Efficacité</w:t>
            </w:r>
            <w:proofErr w:type="spellEnd"/>
            <w:r w:rsidRPr="00531769">
              <w:t xml:space="preserve"> </w:t>
            </w:r>
            <w:proofErr w:type="spellStart"/>
            <w:r w:rsidRPr="00531769">
              <w:t>énergétique</w:t>
            </w:r>
            <w:proofErr w:type="spellEnd"/>
            <w:r w:rsidR="00B537F4">
              <w:t xml:space="preserve"> </w:t>
            </w:r>
            <w:r w:rsidR="006C0404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12FE70DB" w14:textId="21E3BB70" w:rsidR="00B537F4" w:rsidRPr="00531769" w:rsidRDefault="00B537F4" w:rsidP="009D1C7A">
            <w:pPr>
              <w:rPr>
                <w:lang w:val="fr-FR"/>
              </w:rPr>
            </w:pPr>
            <w:r w:rsidRPr="00531769">
              <w:rPr>
                <w:lang w:val="fr-FR"/>
              </w:rPr>
              <w:t>8</w:t>
            </w:r>
            <w:r w:rsidR="004541FD" w:rsidRPr="00531769">
              <w:rPr>
                <w:lang w:val="fr-FR"/>
              </w:rPr>
              <w:t>5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% (</w:t>
            </w:r>
            <w:r w:rsidR="00531769" w:rsidRPr="00531769">
              <w:rPr>
                <w:lang w:val="fr-FR"/>
              </w:rPr>
              <w:t>à</w:t>
            </w:r>
            <w:r w:rsidRPr="00531769">
              <w:rPr>
                <w:lang w:val="fr-FR"/>
              </w:rPr>
              <w:t xml:space="preserve"> </w:t>
            </w:r>
            <w:r w:rsidR="00826DDA" w:rsidRPr="00531769">
              <w:rPr>
                <w:lang w:val="fr-FR"/>
              </w:rPr>
              <w:t>274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m³/h)</w:t>
            </w:r>
          </w:p>
          <w:p w14:paraId="0DB6E04A" w14:textId="1C1E619B" w:rsidR="0090762B" w:rsidRPr="00531769" w:rsidRDefault="0090762B" w:rsidP="009D1C7A">
            <w:pPr>
              <w:rPr>
                <w:lang w:val="fr-FR"/>
              </w:rPr>
            </w:pPr>
            <w:r w:rsidRPr="00531769">
              <w:rPr>
                <w:lang w:val="fr-FR"/>
              </w:rPr>
              <w:t>86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% (</w:t>
            </w:r>
            <w:r w:rsidR="00531769" w:rsidRPr="00531769">
              <w:rPr>
                <w:lang w:val="fr-FR"/>
              </w:rPr>
              <w:t>à</w:t>
            </w:r>
            <w:r w:rsidRPr="00531769">
              <w:rPr>
                <w:lang w:val="fr-FR"/>
              </w:rPr>
              <w:t xml:space="preserve"> </w:t>
            </w:r>
            <w:r w:rsidR="00826DDA" w:rsidRPr="00531769">
              <w:rPr>
                <w:lang w:val="fr-FR"/>
              </w:rPr>
              <w:t>231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m³/h)</w:t>
            </w:r>
          </w:p>
          <w:p w14:paraId="21165C8B" w14:textId="2FF96EDF" w:rsidR="0090762B" w:rsidRPr="00531769" w:rsidRDefault="00B22783" w:rsidP="009D1C7A">
            <w:pPr>
              <w:rPr>
                <w:lang w:val="fr-FR"/>
              </w:rPr>
            </w:pPr>
            <w:r w:rsidRPr="00531769">
              <w:rPr>
                <w:lang w:val="fr-FR"/>
              </w:rPr>
              <w:t>8</w:t>
            </w:r>
            <w:r w:rsidR="00826DDA" w:rsidRPr="00531769">
              <w:rPr>
                <w:lang w:val="fr-FR"/>
              </w:rPr>
              <w:t>7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% (</w:t>
            </w:r>
            <w:r w:rsidR="00531769" w:rsidRPr="00531769">
              <w:rPr>
                <w:lang w:val="fr-FR"/>
              </w:rPr>
              <w:t>à</w:t>
            </w:r>
            <w:r w:rsidRPr="00531769">
              <w:rPr>
                <w:lang w:val="fr-FR"/>
              </w:rPr>
              <w:t xml:space="preserve"> </w:t>
            </w:r>
            <w:r w:rsidR="00826DDA" w:rsidRPr="00531769">
              <w:rPr>
                <w:lang w:val="fr-FR"/>
              </w:rPr>
              <w:t>180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m³/h)</w:t>
            </w:r>
          </w:p>
          <w:p w14:paraId="5D9D6543" w14:textId="37B7E1B1" w:rsidR="00826DDA" w:rsidRPr="00531769" w:rsidRDefault="00826DDA" w:rsidP="009D1C7A">
            <w:pPr>
              <w:rPr>
                <w:lang w:val="fr-FR"/>
              </w:rPr>
            </w:pPr>
            <w:r w:rsidRPr="00531769">
              <w:rPr>
                <w:lang w:val="fr-FR"/>
              </w:rPr>
              <w:t>88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% (</w:t>
            </w:r>
            <w:r w:rsidR="00531769" w:rsidRPr="00531769">
              <w:rPr>
                <w:lang w:val="fr-FR"/>
              </w:rPr>
              <w:t>à</w:t>
            </w:r>
            <w:r w:rsidRPr="00531769">
              <w:rPr>
                <w:lang w:val="fr-FR"/>
              </w:rPr>
              <w:t xml:space="preserve"> 140</w:t>
            </w:r>
            <w:r w:rsidR="009162D3" w:rsidRPr="00531769">
              <w:rPr>
                <w:lang w:val="fr-FR"/>
              </w:rPr>
              <w:t> </w:t>
            </w:r>
            <w:r w:rsidRPr="00531769">
              <w:rPr>
                <w:lang w:val="fr-FR"/>
              </w:rPr>
              <w:t>m</w:t>
            </w:r>
            <w:r w:rsidRPr="00531769">
              <w:rPr>
                <w:vertAlign w:val="superscript"/>
                <w:lang w:val="fr-FR"/>
              </w:rPr>
              <w:t>3</w:t>
            </w:r>
            <w:r w:rsidRPr="00531769">
              <w:rPr>
                <w:lang w:val="fr-FR"/>
              </w:rPr>
              <w:t>/h)</w:t>
            </w:r>
          </w:p>
        </w:tc>
      </w:tr>
      <w:tr w:rsidR="00B537F4" w:rsidRPr="009D1C7A" w14:paraId="5A4C13C8" w14:textId="18246D2A" w:rsidTr="7BF8D173">
        <w:tc>
          <w:tcPr>
            <w:tcW w:w="2961" w:type="dxa"/>
          </w:tcPr>
          <w:p w14:paraId="73C150F7" w14:textId="7AD1A37F" w:rsidR="00B537F4" w:rsidRPr="00531769" w:rsidRDefault="00531769" w:rsidP="009D1C7A">
            <w:pPr>
              <w:rPr>
                <w:lang w:val="fr-FR"/>
              </w:rPr>
            </w:pPr>
            <w:r w:rsidRPr="00531769">
              <w:rPr>
                <w:lang w:val="fr-FR"/>
              </w:rPr>
              <w:t>Largeur x hauteur x profondeur</w:t>
            </w:r>
          </w:p>
        </w:tc>
        <w:tc>
          <w:tcPr>
            <w:tcW w:w="4678" w:type="dxa"/>
          </w:tcPr>
          <w:p w14:paraId="487CA05A" w14:textId="503FD511" w:rsidR="00B537F4" w:rsidRPr="009D1C7A" w:rsidRDefault="00F56B1C" w:rsidP="009D1C7A">
            <w:r>
              <w:t>670 x 1180 x 295 mm</w:t>
            </w:r>
          </w:p>
        </w:tc>
      </w:tr>
      <w:tr w:rsidR="00B537F4" w:rsidRPr="009D1C7A" w14:paraId="140EB29E" w14:textId="70206A18" w:rsidTr="7BF8D173">
        <w:tc>
          <w:tcPr>
            <w:tcW w:w="2961" w:type="dxa"/>
          </w:tcPr>
          <w:p w14:paraId="339FC9D5" w14:textId="7A2E9F98" w:rsidR="00B537F4" w:rsidRPr="009D1C7A" w:rsidRDefault="00531769" w:rsidP="009D1C7A">
            <w:proofErr w:type="spellStart"/>
            <w:r w:rsidRPr="00531769">
              <w:t>Poids</w:t>
            </w:r>
            <w:proofErr w:type="spellEnd"/>
          </w:p>
        </w:tc>
        <w:tc>
          <w:tcPr>
            <w:tcW w:w="4678" w:type="dxa"/>
          </w:tcPr>
          <w:p w14:paraId="26930CE9" w14:textId="5CF89F87" w:rsidR="00B537F4" w:rsidRPr="009D1C7A" w:rsidRDefault="00053733" w:rsidP="009D1C7A">
            <w:r>
              <w:t>19</w:t>
            </w:r>
            <w:r w:rsidR="009162D3">
              <w:t> </w:t>
            </w:r>
            <w:r w:rsidR="00B537F4">
              <w:t>kg</w:t>
            </w:r>
          </w:p>
        </w:tc>
      </w:tr>
      <w:tr w:rsidR="004E6902" w:rsidRPr="009D1C7A" w14:paraId="6652B36D" w14:textId="77777777" w:rsidTr="7BF8D173">
        <w:tc>
          <w:tcPr>
            <w:tcW w:w="2961" w:type="dxa"/>
          </w:tcPr>
          <w:p w14:paraId="5CB3DEEE" w14:textId="62570108" w:rsidR="004E6902" w:rsidRPr="009D1C7A" w:rsidRDefault="004E6902" w:rsidP="009D1C7A">
            <w:r>
              <w:t>Montage</w:t>
            </w:r>
          </w:p>
        </w:tc>
        <w:tc>
          <w:tcPr>
            <w:tcW w:w="4678" w:type="dxa"/>
          </w:tcPr>
          <w:p w14:paraId="3EAE913A" w14:textId="77777777" w:rsidR="004E6902" w:rsidRDefault="004E6902" w:rsidP="009D1C7A">
            <w:r>
              <w:t>Plafond</w:t>
            </w:r>
          </w:p>
          <w:p w14:paraId="7B7C3037" w14:textId="18A67F9B" w:rsidR="00B95F32" w:rsidRDefault="00531769" w:rsidP="009D1C7A">
            <w:proofErr w:type="spellStart"/>
            <w:r>
              <w:t>Mur</w:t>
            </w:r>
            <w:proofErr w:type="spellEnd"/>
            <w:r w:rsidR="00B95F32">
              <w:t xml:space="preserve"> (</w:t>
            </w:r>
            <w:proofErr w:type="spellStart"/>
            <w:r w:rsidR="00B95F32">
              <w:t>vertical</w:t>
            </w:r>
            <w:proofErr w:type="spellEnd"/>
            <w:r w:rsidR="00B95F32">
              <w:t>)</w:t>
            </w:r>
          </w:p>
        </w:tc>
      </w:tr>
    </w:tbl>
    <w:p w14:paraId="2A46A607" w14:textId="77777777" w:rsidR="00A111AB" w:rsidRDefault="00A111AB" w:rsidP="00860F0F"/>
    <w:p w14:paraId="3A61760E" w14:textId="2D823128" w:rsidR="00860F0F" w:rsidRDefault="00AF582A" w:rsidP="00A0297F">
      <w:pPr>
        <w:pStyle w:val="Kop2"/>
      </w:pPr>
      <w:proofErr w:type="spellStart"/>
      <w:r>
        <w:t>Inspections</w:t>
      </w:r>
      <w:proofErr w:type="spellEnd"/>
    </w:p>
    <w:p w14:paraId="7B737257" w14:textId="77777777" w:rsidR="00AF582A" w:rsidRDefault="00AF582A" w:rsidP="00860F0F">
      <w:pPr>
        <w:pStyle w:val="Lijstalinea"/>
        <w:numPr>
          <w:ilvl w:val="0"/>
          <w:numId w:val="1"/>
        </w:numPr>
      </w:pPr>
      <w:proofErr w:type="spellStart"/>
      <w:r w:rsidRPr="00AF582A">
        <w:t>Vérification</w:t>
      </w:r>
      <w:proofErr w:type="spellEnd"/>
      <w:r w:rsidRPr="00AF582A">
        <w:t xml:space="preserve"> CE</w:t>
      </w:r>
    </w:p>
    <w:p w14:paraId="53AFEB56" w14:textId="1063C431" w:rsidR="00C154E9" w:rsidRPr="00AF582A" w:rsidRDefault="00AF582A" w:rsidP="00860F0F">
      <w:pPr>
        <w:pStyle w:val="Lijstalinea"/>
        <w:numPr>
          <w:ilvl w:val="0"/>
          <w:numId w:val="1"/>
        </w:numPr>
        <w:rPr>
          <w:lang w:val="fr-FR"/>
        </w:rPr>
      </w:pPr>
      <w:r w:rsidRPr="00AF582A">
        <w:rPr>
          <w:lang w:val="fr-FR"/>
        </w:rPr>
        <w:t>Repris dans la base de données PEB</w:t>
      </w:r>
    </w:p>
    <w:sectPr w:rsidR="00C154E9" w:rsidRPr="00AF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CC20" w14:textId="77777777" w:rsidR="008F147D" w:rsidRDefault="008F147D" w:rsidP="006C0404">
      <w:pPr>
        <w:spacing w:after="0" w:line="240" w:lineRule="auto"/>
      </w:pPr>
      <w:r>
        <w:separator/>
      </w:r>
    </w:p>
  </w:endnote>
  <w:endnote w:type="continuationSeparator" w:id="0">
    <w:p w14:paraId="3FF64EE1" w14:textId="77777777" w:rsidR="008F147D" w:rsidRDefault="008F147D" w:rsidP="006C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D9B7" w14:textId="77777777" w:rsidR="008F147D" w:rsidRDefault="008F147D" w:rsidP="006C0404">
      <w:pPr>
        <w:spacing w:after="0" w:line="240" w:lineRule="auto"/>
      </w:pPr>
      <w:r>
        <w:separator/>
      </w:r>
    </w:p>
  </w:footnote>
  <w:footnote w:type="continuationSeparator" w:id="0">
    <w:p w14:paraId="096A1B34" w14:textId="77777777" w:rsidR="008F147D" w:rsidRDefault="008F147D" w:rsidP="006C0404">
      <w:pPr>
        <w:spacing w:after="0" w:line="240" w:lineRule="auto"/>
      </w:pPr>
      <w:r>
        <w:continuationSeparator/>
      </w:r>
    </w:p>
  </w:footnote>
  <w:footnote w:id="1">
    <w:p w14:paraId="49B09F6C" w14:textId="1EFAB430" w:rsidR="006C0404" w:rsidRPr="00AF582A" w:rsidRDefault="006C0404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AF582A">
        <w:rPr>
          <w:lang w:val="fr-FR"/>
        </w:rPr>
        <w:t xml:space="preserve"> </w:t>
      </w:r>
      <w:r w:rsidR="00AF582A" w:rsidRPr="00AF582A">
        <w:rPr>
          <w:lang w:val="fr-FR"/>
        </w:rPr>
        <w:t>Conformément à la norme EN 13141-7:2021 (conformément à la législation PEB - Annexe G de l'Annexe 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6ECD"/>
    <w:rsid w:val="0003245D"/>
    <w:rsid w:val="00053733"/>
    <w:rsid w:val="0009062C"/>
    <w:rsid w:val="00120CE8"/>
    <w:rsid w:val="00145BA3"/>
    <w:rsid w:val="00151BB4"/>
    <w:rsid w:val="001A1535"/>
    <w:rsid w:val="001C3EA6"/>
    <w:rsid w:val="001E0E54"/>
    <w:rsid w:val="0022160A"/>
    <w:rsid w:val="00283E86"/>
    <w:rsid w:val="002B27A8"/>
    <w:rsid w:val="002B3907"/>
    <w:rsid w:val="002D613A"/>
    <w:rsid w:val="002E71BA"/>
    <w:rsid w:val="00306625"/>
    <w:rsid w:val="00310181"/>
    <w:rsid w:val="003324E5"/>
    <w:rsid w:val="003628D6"/>
    <w:rsid w:val="00373869"/>
    <w:rsid w:val="00375F09"/>
    <w:rsid w:val="003A2A0A"/>
    <w:rsid w:val="003D5B30"/>
    <w:rsid w:val="003E46F3"/>
    <w:rsid w:val="00403B73"/>
    <w:rsid w:val="004541FD"/>
    <w:rsid w:val="00463C36"/>
    <w:rsid w:val="00484FD0"/>
    <w:rsid w:val="004E6902"/>
    <w:rsid w:val="00505E1F"/>
    <w:rsid w:val="00531769"/>
    <w:rsid w:val="00546A0E"/>
    <w:rsid w:val="0055207C"/>
    <w:rsid w:val="005B270B"/>
    <w:rsid w:val="005B307B"/>
    <w:rsid w:val="005F26F9"/>
    <w:rsid w:val="00614746"/>
    <w:rsid w:val="00623AC4"/>
    <w:rsid w:val="00660DC7"/>
    <w:rsid w:val="006759F5"/>
    <w:rsid w:val="006948F8"/>
    <w:rsid w:val="00695317"/>
    <w:rsid w:val="006A0C43"/>
    <w:rsid w:val="006C0404"/>
    <w:rsid w:val="006E4EAA"/>
    <w:rsid w:val="00725F48"/>
    <w:rsid w:val="00725FEC"/>
    <w:rsid w:val="00730A0C"/>
    <w:rsid w:val="00774447"/>
    <w:rsid w:val="00780CE1"/>
    <w:rsid w:val="00804178"/>
    <w:rsid w:val="008042C3"/>
    <w:rsid w:val="00813D10"/>
    <w:rsid w:val="00826DDA"/>
    <w:rsid w:val="0085040F"/>
    <w:rsid w:val="00860F0F"/>
    <w:rsid w:val="00864290"/>
    <w:rsid w:val="00871FCC"/>
    <w:rsid w:val="00885ED1"/>
    <w:rsid w:val="008970E7"/>
    <w:rsid w:val="008B6D64"/>
    <w:rsid w:val="008F147D"/>
    <w:rsid w:val="0090762B"/>
    <w:rsid w:val="0091403C"/>
    <w:rsid w:val="009162D3"/>
    <w:rsid w:val="00964581"/>
    <w:rsid w:val="009D1C7A"/>
    <w:rsid w:val="009E6AAC"/>
    <w:rsid w:val="009F5CDD"/>
    <w:rsid w:val="00A0297F"/>
    <w:rsid w:val="00A073F5"/>
    <w:rsid w:val="00A111AB"/>
    <w:rsid w:val="00A51224"/>
    <w:rsid w:val="00A55A0B"/>
    <w:rsid w:val="00A77CC9"/>
    <w:rsid w:val="00A938A9"/>
    <w:rsid w:val="00AA1B62"/>
    <w:rsid w:val="00AB10E7"/>
    <w:rsid w:val="00AC348E"/>
    <w:rsid w:val="00AD1E05"/>
    <w:rsid w:val="00AE69B4"/>
    <w:rsid w:val="00AF582A"/>
    <w:rsid w:val="00B22783"/>
    <w:rsid w:val="00B30AD7"/>
    <w:rsid w:val="00B3308F"/>
    <w:rsid w:val="00B340D1"/>
    <w:rsid w:val="00B468B6"/>
    <w:rsid w:val="00B537F4"/>
    <w:rsid w:val="00B762D7"/>
    <w:rsid w:val="00B82D81"/>
    <w:rsid w:val="00B95F32"/>
    <w:rsid w:val="00BA1529"/>
    <w:rsid w:val="00BD0FC1"/>
    <w:rsid w:val="00BF37AB"/>
    <w:rsid w:val="00C13866"/>
    <w:rsid w:val="00C154E9"/>
    <w:rsid w:val="00C41C8F"/>
    <w:rsid w:val="00C73C41"/>
    <w:rsid w:val="00CD363B"/>
    <w:rsid w:val="00D03761"/>
    <w:rsid w:val="00D453C1"/>
    <w:rsid w:val="00D6176F"/>
    <w:rsid w:val="00D73DD3"/>
    <w:rsid w:val="00D91A61"/>
    <w:rsid w:val="00DB3FEB"/>
    <w:rsid w:val="00E355C7"/>
    <w:rsid w:val="00E56ED8"/>
    <w:rsid w:val="00E765A3"/>
    <w:rsid w:val="00E77F8F"/>
    <w:rsid w:val="00EC50AE"/>
    <w:rsid w:val="00EE4842"/>
    <w:rsid w:val="00F04065"/>
    <w:rsid w:val="00F534DC"/>
    <w:rsid w:val="00F56B1C"/>
    <w:rsid w:val="00F65B57"/>
    <w:rsid w:val="00F70BF8"/>
    <w:rsid w:val="00FD4E48"/>
    <w:rsid w:val="0DCFE663"/>
    <w:rsid w:val="43D50157"/>
    <w:rsid w:val="4F93E338"/>
    <w:rsid w:val="5796882B"/>
    <w:rsid w:val="67A256EF"/>
    <w:rsid w:val="6800D2E9"/>
    <w:rsid w:val="693614CC"/>
    <w:rsid w:val="7BF8D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C040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C040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C0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9E5E1-B7AF-4A27-A88A-0CD2601D4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009EAB-148A-4A78-882B-DEA61CEB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2428</Characters>
  <Application>Microsoft Office Word</Application>
  <DocSecurity>0</DocSecurity>
  <Lines>78</Lines>
  <Paragraphs>65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Stijn Vuylsteke</cp:lastModifiedBy>
  <cp:revision>9</cp:revision>
  <dcterms:created xsi:type="dcterms:W3CDTF">2024-11-04T14:38:00Z</dcterms:created>
  <dcterms:modified xsi:type="dcterms:W3CDTF">2024-11-04T15:07:00Z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