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6D57326" w:rsidR="00C63555" w:rsidRPr="007B3226" w:rsidRDefault="00A968CC" w:rsidP="00C63555">
      <w:pPr>
        <w:pStyle w:val="Kop1"/>
      </w:pPr>
      <w:r w:rsidRPr="007B3226">
        <w:t xml:space="preserve">Impact- &amp; </w:t>
      </w:r>
      <w:proofErr w:type="spellStart"/>
      <w:r w:rsidRPr="007B3226">
        <w:t>doorvalbeveiliging</w:t>
      </w:r>
      <w:proofErr w:type="spellEnd"/>
      <w:r w:rsidR="00C63555" w:rsidRPr="007B3226">
        <w:t xml:space="preserve"> – DUCO </w:t>
      </w:r>
      <w:proofErr w:type="spellStart"/>
      <w:r w:rsidR="00C63555" w:rsidRPr="007B3226">
        <w:t>Ventilation</w:t>
      </w:r>
      <w:proofErr w:type="spellEnd"/>
      <w:r w:rsidR="00C63555" w:rsidRPr="007B3226">
        <w:t xml:space="preserve"> &amp; Sun Control</w:t>
      </w:r>
      <w:r w:rsidR="001D6DEB" w:rsidRPr="007B3226">
        <w:br/>
      </w:r>
      <w:r w:rsidR="00C63555" w:rsidRPr="007B3226">
        <w:t>Duco</w:t>
      </w:r>
      <w:r w:rsidR="004901CD" w:rsidRPr="007B3226">
        <w:t xml:space="preserve"> Barrier Load</w:t>
      </w:r>
      <w:r w:rsidR="00642AFD" w:rsidRPr="007B3226">
        <w:t xml:space="preserve"> Louvre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4D42179" w14:textId="169E570D" w:rsidR="00D60B2A" w:rsidRPr="00C76EBD" w:rsidRDefault="00146733" w:rsidP="00C63555">
      <w:pPr>
        <w:rPr>
          <w:shd w:val="clear" w:color="auto" w:fill="FFFFFF"/>
        </w:rPr>
      </w:pPr>
      <w:r w:rsidRPr="00C76EBD">
        <w:rPr>
          <w:shd w:val="clear" w:color="auto" w:fill="FFFFFF"/>
        </w:rPr>
        <w:t>Duco Barrier L</w:t>
      </w:r>
      <w:r w:rsidR="00BE43D2" w:rsidRPr="00C76EBD">
        <w:rPr>
          <w:shd w:val="clear" w:color="auto" w:fill="FFFFFF"/>
        </w:rPr>
        <w:t xml:space="preserve">oad Louvre </w:t>
      </w:r>
      <w:r w:rsidR="00306BA4">
        <w:rPr>
          <w:shd w:val="clear" w:color="auto" w:fill="FFFFFF"/>
        </w:rPr>
        <w:t>heeft</w:t>
      </w:r>
      <w:r w:rsidR="00BC613E" w:rsidRPr="00C76EBD">
        <w:rPr>
          <w:shd w:val="clear" w:color="auto" w:fill="FFFFFF"/>
        </w:rPr>
        <w:t xml:space="preserve"> verschillende voordelen, zoals </w:t>
      </w:r>
      <w:r w:rsidR="00A968CC">
        <w:rPr>
          <w:shd w:val="clear" w:color="auto" w:fill="FFFFFF"/>
        </w:rPr>
        <w:t xml:space="preserve">impact- en </w:t>
      </w:r>
      <w:proofErr w:type="spellStart"/>
      <w:r w:rsidR="00A968CC">
        <w:rPr>
          <w:shd w:val="clear" w:color="auto" w:fill="FFFFFF"/>
        </w:rPr>
        <w:t>door</w:t>
      </w:r>
      <w:r w:rsidR="00BC613E" w:rsidRPr="00C76EBD">
        <w:rPr>
          <w:shd w:val="clear" w:color="auto" w:fill="FFFFFF"/>
        </w:rPr>
        <w:t>valbeveiliging</w:t>
      </w:r>
      <w:proofErr w:type="spellEnd"/>
      <w:r w:rsidR="00BC613E" w:rsidRPr="00C76EBD">
        <w:rPr>
          <w:shd w:val="clear" w:color="auto" w:fill="FFFFFF"/>
        </w:rPr>
        <w:t xml:space="preserve"> voor open ramen op grote hoogte en intensive ventilatie van de ruimtes in het gebouw. Tegelijkertijd bieden de lamellen </w:t>
      </w:r>
      <w:r w:rsidR="005950EA" w:rsidRPr="00C76EBD">
        <w:rPr>
          <w:shd w:val="clear" w:color="auto" w:fill="FFFFFF"/>
        </w:rPr>
        <w:t>zonwering en blokkeren ze de zonnestralen en warmte zonder verlies van daglicht.</w:t>
      </w:r>
    </w:p>
    <w:p w14:paraId="1EE3DE3F" w14:textId="6AA37E4E" w:rsidR="005C0FF6" w:rsidRPr="00C76EBD" w:rsidRDefault="006C07B8" w:rsidP="00C63555">
      <w:pPr>
        <w:rPr>
          <w:shd w:val="clear" w:color="auto" w:fill="FFFFFF"/>
        </w:rPr>
      </w:pPr>
      <w:r>
        <w:rPr>
          <w:shd w:val="clear" w:color="auto" w:fill="FFFFFF"/>
        </w:rPr>
        <w:t>E</w:t>
      </w:r>
      <w:r w:rsidR="00101FAF" w:rsidRPr="00C76EBD">
        <w:rPr>
          <w:shd w:val="clear" w:color="auto" w:fill="FFFFFF"/>
        </w:rPr>
        <w:t>r</w:t>
      </w:r>
      <w:r>
        <w:rPr>
          <w:shd w:val="clear" w:color="auto" w:fill="FFFFFF"/>
        </w:rPr>
        <w:t xml:space="preserve"> is</w:t>
      </w:r>
      <w:r w:rsidR="00101FAF" w:rsidRPr="00C76EBD">
        <w:rPr>
          <w:shd w:val="clear" w:color="auto" w:fill="FFFFFF"/>
        </w:rPr>
        <w:t xml:space="preserve"> een grote keuze aan </w:t>
      </w:r>
      <w:r w:rsidR="0016518E" w:rsidRPr="00C76EBD">
        <w:rPr>
          <w:shd w:val="clear" w:color="auto" w:fill="FFFFFF"/>
        </w:rPr>
        <w:t xml:space="preserve">uitvoeringen. Er zijn drie opties voor de helling van de lamel (3°, 45° en 55°), </w:t>
      </w:r>
      <w:r w:rsidR="000603D6" w:rsidRPr="00C76EBD">
        <w:rPr>
          <w:shd w:val="clear" w:color="auto" w:fill="FFFFFF"/>
        </w:rPr>
        <w:t>de stap van de lamel is vrij te kiezen (tot maximum 100 mm)</w:t>
      </w:r>
      <w:r w:rsidR="00937C56" w:rsidRPr="00C76EBD">
        <w:rPr>
          <w:shd w:val="clear" w:color="auto" w:fill="FFFFFF"/>
        </w:rPr>
        <w:t xml:space="preserve"> en de </w:t>
      </w:r>
      <w:r w:rsidR="0002179D" w:rsidRPr="00C76EBD">
        <w:rPr>
          <w:shd w:val="clear" w:color="auto" w:fill="FFFFFF"/>
        </w:rPr>
        <w:t xml:space="preserve">kaderprofielen kunnen gecombineerd worden </w:t>
      </w:r>
      <w:r w:rsidR="00C76EBD" w:rsidRPr="00C76EBD">
        <w:rPr>
          <w:shd w:val="clear" w:color="auto" w:fill="FFFFFF"/>
        </w:rPr>
        <w:t xml:space="preserve">tot een </w:t>
      </w:r>
      <w:proofErr w:type="spellStart"/>
      <w:r w:rsidR="00C76EBD" w:rsidRPr="00C76EBD">
        <w:rPr>
          <w:shd w:val="clear" w:color="auto" w:fill="FFFFFF"/>
        </w:rPr>
        <w:t>SlimFrame</w:t>
      </w:r>
      <w:proofErr w:type="spellEnd"/>
      <w:r w:rsidR="00C76EBD" w:rsidRPr="00C76EBD">
        <w:rPr>
          <w:shd w:val="clear" w:color="auto" w:fill="FFFFFF"/>
        </w:rPr>
        <w:t xml:space="preserve"> of een </w:t>
      </w:r>
      <w:proofErr w:type="spellStart"/>
      <w:r w:rsidR="00C76EBD" w:rsidRPr="00C76EBD">
        <w:rPr>
          <w:shd w:val="clear" w:color="auto" w:fill="FFFFFF"/>
        </w:rPr>
        <w:t>LuxFrame</w:t>
      </w:r>
      <w:proofErr w:type="spellEnd"/>
      <w:r w:rsidR="00C76EBD" w:rsidRPr="00C76EBD">
        <w:rPr>
          <w:shd w:val="clear" w:color="auto" w:fill="FFFFFF"/>
        </w:rPr>
        <w:t>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677F4D48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F3167A" w:rsidRPr="00F3167A">
        <w:rPr>
          <w:lang w:val="da-DK"/>
        </w:rPr>
        <w:t>60F Barrier Lo</w:t>
      </w:r>
      <w:r w:rsidR="00F3167A">
        <w:rPr>
          <w:lang w:val="da-DK"/>
        </w:rPr>
        <w:t>ad</w:t>
      </w:r>
    </w:p>
    <w:p w14:paraId="26FB88FC" w14:textId="558799CD" w:rsidR="00F3167A" w:rsidRDefault="009D164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Helling lamel</w:t>
      </w:r>
      <w:r>
        <w:rPr>
          <w:lang w:val="da-DK"/>
        </w:rPr>
        <w:tab/>
      </w:r>
      <w:r>
        <w:rPr>
          <w:lang w:val="da-DK"/>
        </w:rPr>
        <w:tab/>
        <w:t>3°</w:t>
      </w:r>
    </w:p>
    <w:p w14:paraId="5B97BEA6" w14:textId="3B9592D7" w:rsidR="009D1646" w:rsidRDefault="009D1646" w:rsidP="009D1646">
      <w:pPr>
        <w:pStyle w:val="Lijstalinea"/>
        <w:ind w:left="2832"/>
        <w:rPr>
          <w:lang w:val="da-DK"/>
        </w:rPr>
      </w:pPr>
      <w:r>
        <w:rPr>
          <w:lang w:val="da-DK"/>
        </w:rPr>
        <w:t>45°</w:t>
      </w:r>
    </w:p>
    <w:p w14:paraId="502A2F3F" w14:textId="4A39B731" w:rsidR="009D1646" w:rsidRPr="00F3167A" w:rsidRDefault="009D1646" w:rsidP="009D1646">
      <w:pPr>
        <w:pStyle w:val="Lijstalinea"/>
        <w:ind w:left="2832"/>
        <w:rPr>
          <w:lang w:val="da-DK"/>
        </w:rPr>
      </w:pPr>
      <w:r>
        <w:rPr>
          <w:lang w:val="da-DK"/>
        </w:rPr>
        <w:t>55°</w:t>
      </w:r>
    </w:p>
    <w:p w14:paraId="414AF979" w14:textId="77777777" w:rsidR="00807143" w:rsidRDefault="00C63555" w:rsidP="00C63555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807143">
        <w:t>Volgens specificatie berekening valbeveiliging</w:t>
      </w:r>
    </w:p>
    <w:p w14:paraId="4FE5E942" w14:textId="44FE8176" w:rsidR="00F2158A" w:rsidRDefault="00F2158A" w:rsidP="00F2158A">
      <w:pPr>
        <w:pStyle w:val="Lijstalinea"/>
        <w:ind w:left="2832"/>
      </w:pPr>
      <w:r>
        <w:t>Minimum stap:</w:t>
      </w:r>
      <w:r>
        <w:tab/>
        <w:t>50 mm</w:t>
      </w:r>
    </w:p>
    <w:p w14:paraId="45695D31" w14:textId="2935AD80" w:rsidR="00C63555" w:rsidRDefault="00807143" w:rsidP="00807143">
      <w:pPr>
        <w:pStyle w:val="Lijstalinea"/>
        <w:ind w:left="2136" w:firstLine="696"/>
      </w:pPr>
      <w:r>
        <w:t>Maximum stap</w:t>
      </w:r>
      <w:r w:rsidR="00F2158A">
        <w:t>:</w:t>
      </w:r>
      <w:r w:rsidR="00F2158A">
        <w:tab/>
      </w:r>
      <w:r>
        <w:t>100 mm</w:t>
      </w:r>
    </w:p>
    <w:p w14:paraId="301FE875" w14:textId="045044E5" w:rsidR="00C63555" w:rsidRDefault="000029D1" w:rsidP="00C63555">
      <w:pPr>
        <w:pStyle w:val="Lijstalinea"/>
        <w:numPr>
          <w:ilvl w:val="0"/>
          <w:numId w:val="19"/>
        </w:numPr>
      </w:pPr>
      <w:r>
        <w:t>Kaderbreedte</w:t>
      </w:r>
    </w:p>
    <w:tbl>
      <w:tblPr>
        <w:tblStyle w:val="Tabelraster"/>
        <w:tblpPr w:leftFromText="141" w:rightFromText="141" w:vertAnchor="text" w:horzAnchor="page" w:tblpX="40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68"/>
      </w:tblGrid>
      <w:tr w:rsidR="00ED011E" w14:paraId="3F16A7C3" w14:textId="77777777" w:rsidTr="009D16F0">
        <w:tc>
          <w:tcPr>
            <w:tcW w:w="1417" w:type="dxa"/>
            <w:shd w:val="clear" w:color="auto" w:fill="43B02A"/>
            <w:vAlign w:val="center"/>
          </w:tcPr>
          <w:p w14:paraId="25E3FB33" w14:textId="1DDDCDB0" w:rsidR="00ED011E" w:rsidRPr="00C63555" w:rsidRDefault="00ED011E" w:rsidP="009D16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Slim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11/70</w:t>
            </w:r>
          </w:p>
        </w:tc>
        <w:tc>
          <w:tcPr>
            <w:tcW w:w="1207" w:type="dxa"/>
            <w:shd w:val="clear" w:color="auto" w:fill="43B02A"/>
            <w:vAlign w:val="center"/>
          </w:tcPr>
          <w:p w14:paraId="36288F19" w14:textId="6B0A16E7" w:rsidR="00ED011E" w:rsidRPr="00C63555" w:rsidRDefault="00ED011E" w:rsidP="009D16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Lux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35/70</w:t>
            </w:r>
          </w:p>
        </w:tc>
      </w:tr>
      <w:tr w:rsidR="00ED011E" w14:paraId="3965574A" w14:textId="77777777" w:rsidTr="009D16F0">
        <w:tc>
          <w:tcPr>
            <w:tcW w:w="1417" w:type="dxa"/>
            <w:shd w:val="clear" w:color="auto" w:fill="auto"/>
            <w:vAlign w:val="center"/>
          </w:tcPr>
          <w:p w14:paraId="632EAEB1" w14:textId="7FC31E69" w:rsidR="00ED011E" w:rsidRPr="00ED011E" w:rsidRDefault="00ED011E" w:rsidP="009D16F0">
            <w:pPr>
              <w:pStyle w:val="Lijstalinea"/>
              <w:ind w:left="0"/>
              <w:jc w:val="center"/>
              <w:rPr>
                <w:color w:val="FFFFFF"/>
              </w:rPr>
            </w:pPr>
            <w:r w:rsidRPr="00ED011E">
              <w:t>11 mm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0F0A7C0" w14:textId="65480214" w:rsidR="00ED011E" w:rsidRPr="00C63555" w:rsidRDefault="00ED011E" w:rsidP="009D16F0">
            <w:pPr>
              <w:pStyle w:val="Lijstalinea"/>
              <w:ind w:left="0"/>
              <w:jc w:val="center"/>
            </w:pPr>
            <w:r>
              <w:t>35 mm</w:t>
            </w:r>
          </w:p>
        </w:tc>
      </w:tr>
    </w:tbl>
    <w:p w14:paraId="26BC2019" w14:textId="77777777" w:rsidR="009D16F0" w:rsidRDefault="009D16F0" w:rsidP="009D16F0"/>
    <w:p w14:paraId="49B6E0A0" w14:textId="77777777" w:rsidR="009D16F0" w:rsidRDefault="009D16F0" w:rsidP="009D16F0"/>
    <w:p w14:paraId="23D12A3E" w14:textId="27634789" w:rsidR="000029D1" w:rsidRDefault="009D16F0" w:rsidP="00C63555">
      <w:pPr>
        <w:pStyle w:val="Lijstalinea"/>
        <w:numPr>
          <w:ilvl w:val="0"/>
          <w:numId w:val="19"/>
        </w:numPr>
      </w:pPr>
      <w:r>
        <w:t>Opbouwdiepte</w:t>
      </w:r>
      <w:r w:rsidR="000029D1">
        <w:tab/>
      </w:r>
      <w:r>
        <w:t>70</w:t>
      </w:r>
      <w:r w:rsidR="000029D1">
        <w:t xml:space="preserve"> mm</w:t>
      </w:r>
    </w:p>
    <w:p w14:paraId="77C35EAE" w14:textId="388F6D8D" w:rsidR="000F6049" w:rsidRDefault="000F6049" w:rsidP="00C63555">
      <w:pPr>
        <w:pStyle w:val="Lijstalinea"/>
        <w:numPr>
          <w:ilvl w:val="0"/>
          <w:numId w:val="19"/>
        </w:numPr>
      </w:pPr>
      <w:r>
        <w:t>Afmetingen</w:t>
      </w:r>
      <w:r>
        <w:tab/>
      </w:r>
      <w:r>
        <w:tab/>
        <w:t xml:space="preserve">Minimumbreedte: </w:t>
      </w:r>
      <w:r>
        <w:tab/>
        <w:t>100 mm</w:t>
      </w:r>
    </w:p>
    <w:p w14:paraId="694CD13A" w14:textId="22357448" w:rsidR="000029D1" w:rsidRDefault="000F6049" w:rsidP="000F6049">
      <w:pPr>
        <w:pStyle w:val="Lijstalinea"/>
      </w:pPr>
      <w:r>
        <w:tab/>
      </w:r>
      <w:r>
        <w:tab/>
      </w:r>
      <w:r>
        <w:tab/>
        <w:t xml:space="preserve">Maximumbreedte: </w:t>
      </w:r>
      <w:r>
        <w:tab/>
        <w:t>1000 mm</w:t>
      </w:r>
      <w:r w:rsidR="000029D1">
        <w:t>m</w:t>
      </w:r>
    </w:p>
    <w:p w14:paraId="6CA9FCBA" w14:textId="7E9803C7" w:rsidR="00C63555" w:rsidRDefault="00C63555" w:rsidP="00C63555">
      <w:pPr>
        <w:pStyle w:val="Kop2"/>
      </w:pPr>
      <w:r>
        <w:t>Materiaal en oppervlaktebehandeling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D25F31A" w:rsidR="00C63555" w:rsidRDefault="00C63555" w:rsidP="00C63555">
      <w:pPr>
        <w:pStyle w:val="Lijstalinea"/>
        <w:ind w:left="2832"/>
      </w:pPr>
      <w:r>
        <w:t>Profieldikte: min. 1,5 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22C84694" w14:textId="1E4A316C" w:rsidR="00642002" w:rsidRDefault="00C63555" w:rsidP="00C63555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C0BD0F4" w14:textId="77777777" w:rsidR="00642002" w:rsidRDefault="00642002">
      <w:r>
        <w:br w:type="page"/>
      </w:r>
    </w:p>
    <w:p w14:paraId="395F45E3" w14:textId="5EC42452" w:rsidR="00C63555" w:rsidRDefault="00C63555" w:rsidP="00C63555">
      <w:pPr>
        <w:pStyle w:val="Kop2"/>
      </w:pPr>
      <w:r>
        <w:lastRenderedPageBreak/>
        <w:t>Technische specificaties</w:t>
      </w:r>
    </w:p>
    <w:p w14:paraId="41F8A28E" w14:textId="5C1EE9D7" w:rsidR="00C63555" w:rsidRDefault="00C63555" w:rsidP="00C63555">
      <w:pPr>
        <w:pStyle w:val="Kop3"/>
      </w:pPr>
      <w:r>
        <w:t>Brandreactie</w:t>
      </w:r>
    </w:p>
    <w:p w14:paraId="2B45D239" w14:textId="3297B8AD" w:rsidR="00C63555" w:rsidRDefault="00C63555" w:rsidP="00C63555">
      <w:r>
        <w:t>AS-s1,d0 (EN 13501-1)</w:t>
      </w:r>
    </w:p>
    <w:p w14:paraId="1C8446DF" w14:textId="77777777" w:rsidR="00213292" w:rsidRDefault="00213292" w:rsidP="00213292">
      <w:pPr>
        <w:pStyle w:val="Kop3"/>
      </w:pPr>
      <w:r>
        <w:t>Impactbeveiliging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17"/>
        <w:gridCol w:w="1272"/>
        <w:gridCol w:w="1265"/>
        <w:gridCol w:w="10"/>
        <w:gridCol w:w="1276"/>
        <w:gridCol w:w="1269"/>
        <w:gridCol w:w="1268"/>
        <w:gridCol w:w="1290"/>
      </w:tblGrid>
      <w:tr w:rsidR="004863B0" w14:paraId="160D7451" w14:textId="26AFADAD" w:rsidTr="002D210F">
        <w:tc>
          <w:tcPr>
            <w:tcW w:w="1417" w:type="dxa"/>
            <w:vMerge w:val="restart"/>
            <w:shd w:val="clear" w:color="auto" w:fill="43B02A"/>
            <w:vAlign w:val="center"/>
          </w:tcPr>
          <w:p w14:paraId="7C99DA0D" w14:textId="6A3DCAD1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823" w:type="dxa"/>
            <w:gridSpan w:val="4"/>
            <w:shd w:val="clear" w:color="auto" w:fill="43B02A"/>
            <w:vAlign w:val="center"/>
          </w:tcPr>
          <w:p w14:paraId="7452582C" w14:textId="1F5605F9" w:rsidR="004863B0" w:rsidRP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863B0">
              <w:rPr>
                <w:b/>
                <w:bCs/>
                <w:color w:val="FFFFFF"/>
              </w:rPr>
              <w:t>Gemonteerd op raamprofiel (kozijn)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CA69246" w14:textId="2FAF9D71" w:rsidR="004863B0" w:rsidRPr="004863B0" w:rsidRDefault="00F310BC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Gemonteerd </w:t>
            </w:r>
            <w:r w:rsidR="003741A2">
              <w:rPr>
                <w:b/>
                <w:bCs/>
                <w:color w:val="FFFFFF"/>
              </w:rPr>
              <w:t>op de vier hoeken</w:t>
            </w:r>
          </w:p>
        </w:tc>
      </w:tr>
      <w:tr w:rsidR="00B35C8E" w14:paraId="7E92AE6B" w14:textId="41E3C5BE" w:rsidTr="00B35C8E">
        <w:tc>
          <w:tcPr>
            <w:tcW w:w="1417" w:type="dxa"/>
            <w:vMerge/>
            <w:shd w:val="clear" w:color="auto" w:fill="43B02A"/>
            <w:vAlign w:val="center"/>
          </w:tcPr>
          <w:p w14:paraId="199FA225" w14:textId="4A885DFF" w:rsidR="004863B0" w:rsidRPr="00C63555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72" w:type="dxa"/>
            <w:shd w:val="clear" w:color="auto" w:fill="43B02A"/>
            <w:vAlign w:val="center"/>
          </w:tcPr>
          <w:p w14:paraId="1C1C23B6" w14:textId="3CEE27DE" w:rsidR="004863B0" w:rsidRPr="004C0761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14:paraId="0BEBD99F" w14:textId="464BBECD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86" w:type="dxa"/>
            <w:gridSpan w:val="2"/>
            <w:shd w:val="clear" w:color="auto" w:fill="43B02A"/>
          </w:tcPr>
          <w:p w14:paraId="2999F28E" w14:textId="02755F4E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69" w:type="dxa"/>
            <w:shd w:val="clear" w:color="auto" w:fill="43B02A"/>
          </w:tcPr>
          <w:p w14:paraId="668CAA10" w14:textId="15BC2E17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8" w:type="dxa"/>
            <w:shd w:val="clear" w:color="auto" w:fill="43B02A"/>
          </w:tcPr>
          <w:p w14:paraId="559A39C3" w14:textId="3D118433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90" w:type="dxa"/>
            <w:shd w:val="clear" w:color="auto" w:fill="43B02A"/>
          </w:tcPr>
          <w:p w14:paraId="5A25E669" w14:textId="55D51CF8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14:paraId="36A7388F" w14:textId="4E38FDE3" w:rsidTr="00B35C8E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5C3A2CA4" w14:textId="77777777" w:rsidR="00E319C8" w:rsidRPr="00C63555" w:rsidRDefault="00E319C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ECF6D77" w14:textId="410FD824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069E81CA" w14:textId="489C4F9B" w:rsidR="00E319C8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D5514AB" w14:textId="687FF087" w:rsidR="00E319C8" w:rsidRDefault="00E319C8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B70BB89" w14:textId="6AF0DBE7" w:rsidR="00E319C8" w:rsidRDefault="00D46A07" w:rsidP="00642002">
            <w:pPr>
              <w:pStyle w:val="Lijstalinea"/>
              <w:ind w:left="0"/>
              <w:jc w:val="center"/>
            </w:pPr>
            <w:r>
              <w:t>Nog geen testresultaat beschikbaar</w:t>
            </w:r>
          </w:p>
        </w:tc>
      </w:tr>
      <w:tr w:rsidR="00E319C8" w14:paraId="2BE0D9FB" w14:textId="4295C029" w:rsidTr="00B35C8E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4831A6FB" w14:textId="77777777" w:rsidR="00E319C8" w:rsidRPr="00C63555" w:rsidRDefault="00E319C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DFCDA4" w14:textId="75D57156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Q4</w:t>
            </w:r>
          </w:p>
        </w:tc>
        <w:tc>
          <w:tcPr>
            <w:tcW w:w="1275" w:type="dxa"/>
            <w:gridSpan w:val="2"/>
            <w:vAlign w:val="center"/>
          </w:tcPr>
          <w:p w14:paraId="7A0E9519" w14:textId="2C01F0AD" w:rsidR="00E319C8" w:rsidRDefault="00E319C8" w:rsidP="00642002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1276" w:type="dxa"/>
            <w:vAlign w:val="center"/>
          </w:tcPr>
          <w:p w14:paraId="319B84F5" w14:textId="71161507" w:rsidR="00E319C8" w:rsidRDefault="00E319C8" w:rsidP="00642002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5F9BC57" w14:textId="23300183" w:rsidR="00E319C8" w:rsidRDefault="00E319C8" w:rsidP="00642002">
            <w:pPr>
              <w:pStyle w:val="Lijstalinea"/>
              <w:ind w:left="0"/>
              <w:jc w:val="center"/>
            </w:pPr>
          </w:p>
        </w:tc>
      </w:tr>
    </w:tbl>
    <w:p w14:paraId="6C173E02" w14:textId="77777777" w:rsidR="00213292" w:rsidRDefault="00213292" w:rsidP="00213292">
      <w:pPr>
        <w:pStyle w:val="Kop3"/>
      </w:pPr>
      <w:r>
        <w:t>Doorvalbeveiliging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74"/>
        <w:gridCol w:w="1215"/>
        <w:gridCol w:w="1275"/>
        <w:gridCol w:w="1276"/>
        <w:gridCol w:w="1296"/>
        <w:gridCol w:w="1265"/>
        <w:gridCol w:w="1266"/>
      </w:tblGrid>
      <w:tr w:rsidR="007A274D" w14:paraId="6DFABBF5" w14:textId="77777777" w:rsidTr="002D210F">
        <w:tc>
          <w:tcPr>
            <w:tcW w:w="1474" w:type="dxa"/>
            <w:vMerge w:val="restart"/>
            <w:shd w:val="clear" w:color="auto" w:fill="43B02A"/>
            <w:vAlign w:val="center"/>
          </w:tcPr>
          <w:p w14:paraId="31C9DF7B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766" w:type="dxa"/>
            <w:gridSpan w:val="3"/>
            <w:shd w:val="clear" w:color="auto" w:fill="43B02A"/>
            <w:vAlign w:val="center"/>
          </w:tcPr>
          <w:p w14:paraId="1AB337FA" w14:textId="77777777" w:rsidR="007A274D" w:rsidRPr="004863B0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863B0">
              <w:rPr>
                <w:b/>
                <w:bCs/>
                <w:color w:val="FFFFFF"/>
              </w:rPr>
              <w:t>Gemonteerd op raamprofiel (kozijn)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407F4805" w14:textId="33CEAE75" w:rsidR="007A274D" w:rsidRPr="004863B0" w:rsidRDefault="003741A2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Gemonteerd op de vier hoeken</w:t>
            </w:r>
          </w:p>
        </w:tc>
      </w:tr>
      <w:tr w:rsidR="00A300C4" w14:paraId="122196C2" w14:textId="77777777" w:rsidTr="00A300C4">
        <w:tc>
          <w:tcPr>
            <w:tcW w:w="1474" w:type="dxa"/>
            <w:vMerge/>
            <w:shd w:val="clear" w:color="auto" w:fill="43B02A"/>
            <w:vAlign w:val="center"/>
          </w:tcPr>
          <w:p w14:paraId="4709A588" w14:textId="77777777" w:rsidR="007A274D" w:rsidRPr="00C63555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15" w:type="dxa"/>
            <w:shd w:val="clear" w:color="auto" w:fill="43B02A"/>
            <w:vAlign w:val="center"/>
          </w:tcPr>
          <w:p w14:paraId="5820323D" w14:textId="77777777" w:rsidR="007A274D" w:rsidRPr="004C0761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75" w:type="dxa"/>
            <w:shd w:val="clear" w:color="auto" w:fill="43B02A"/>
          </w:tcPr>
          <w:p w14:paraId="66343436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76" w:type="dxa"/>
            <w:shd w:val="clear" w:color="auto" w:fill="43B02A"/>
          </w:tcPr>
          <w:p w14:paraId="7BC3E497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96" w:type="dxa"/>
            <w:shd w:val="clear" w:color="auto" w:fill="43B02A"/>
          </w:tcPr>
          <w:p w14:paraId="2525610E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14:paraId="260914A7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66" w:type="dxa"/>
            <w:shd w:val="clear" w:color="auto" w:fill="43B02A"/>
          </w:tcPr>
          <w:p w14:paraId="456A17D8" w14:textId="77777777" w:rsidR="007A274D" w:rsidRDefault="007A274D" w:rsidP="0002437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14:paraId="519E3BAE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2DA1496C" w14:textId="5CF1C744" w:rsidR="00E319C8" w:rsidRPr="00C63555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8A8FE0" w14:textId="5FEBF757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14:paraId="21BE3D79" w14:textId="3C324A6F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14:paraId="1A490E2C" w14:textId="43B030D6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E77B66C" w14:textId="53E1EE49" w:rsidR="00E319C8" w:rsidRDefault="00D46A07" w:rsidP="00642002">
            <w:pPr>
              <w:pStyle w:val="Lijstalinea"/>
              <w:ind w:left="0"/>
              <w:jc w:val="center"/>
            </w:pPr>
            <w:r>
              <w:t>Nog geen testresultaat beschikbaar</w:t>
            </w:r>
          </w:p>
        </w:tc>
      </w:tr>
      <w:tr w:rsidR="00E319C8" w14:paraId="57FE939F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3E645229" w14:textId="7B5867C7" w:rsidR="00E319C8" w:rsidRPr="00C63555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B0C178" w14:textId="2F07931E" w:rsidR="00E319C8" w:rsidRPr="00C63555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14:paraId="7CFAD283" w14:textId="701E399E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14:paraId="3D6AD517" w14:textId="2E0DD573" w:rsidR="00E319C8" w:rsidRDefault="00E319C8" w:rsidP="00642002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06788121" w14:textId="7FB74646" w:rsidR="00E319C8" w:rsidRDefault="00E319C8" w:rsidP="00642002">
            <w:pPr>
              <w:pStyle w:val="Lijstalinea"/>
              <w:ind w:left="0"/>
              <w:jc w:val="center"/>
            </w:pPr>
          </w:p>
        </w:tc>
      </w:tr>
      <w:tr w:rsidR="00E319C8" w14:paraId="06A65A6B" w14:textId="77777777" w:rsidTr="00A300C4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14:paraId="0A7FE679" w14:textId="03D52972" w:rsidR="00E319C8" w:rsidRDefault="00E319C8" w:rsidP="007A274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B978EF" w14:textId="254AA00A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5" w:type="dxa"/>
            <w:vAlign w:val="center"/>
          </w:tcPr>
          <w:p w14:paraId="516165E1" w14:textId="4E20C133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6" w:type="dxa"/>
            <w:vAlign w:val="center"/>
          </w:tcPr>
          <w:p w14:paraId="208E48A6" w14:textId="7CDD9E71" w:rsidR="00E319C8" w:rsidRDefault="00E319C8" w:rsidP="00642002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781988E9" w14:textId="364524E0" w:rsidR="00E319C8" w:rsidRDefault="00E319C8" w:rsidP="00642002">
            <w:pPr>
              <w:pStyle w:val="Lijstalinea"/>
              <w:ind w:left="0"/>
              <w:jc w:val="center"/>
            </w:pPr>
          </w:p>
        </w:tc>
      </w:tr>
    </w:tbl>
    <w:p w14:paraId="039223AA" w14:textId="25F103B8" w:rsidR="007A274D" w:rsidRDefault="00642002" w:rsidP="007A274D">
      <w:r>
        <w:t>* Controleer het berekeningsprogramma voor maximale stap en breedte.</w:t>
      </w:r>
    </w:p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7B322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7B322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7B322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2179D"/>
    <w:rsid w:val="0002189F"/>
    <w:rsid w:val="000309BB"/>
    <w:rsid w:val="000603D6"/>
    <w:rsid w:val="000974F5"/>
    <w:rsid w:val="000A4893"/>
    <w:rsid w:val="000B341C"/>
    <w:rsid w:val="000D78C8"/>
    <w:rsid w:val="000F6049"/>
    <w:rsid w:val="000F6BCF"/>
    <w:rsid w:val="0010196E"/>
    <w:rsid w:val="00101FAF"/>
    <w:rsid w:val="00143F8F"/>
    <w:rsid w:val="00146733"/>
    <w:rsid w:val="001470E4"/>
    <w:rsid w:val="00153EEE"/>
    <w:rsid w:val="0016518E"/>
    <w:rsid w:val="00184CB7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2F29"/>
    <w:rsid w:val="00230367"/>
    <w:rsid w:val="002539E9"/>
    <w:rsid w:val="0027232C"/>
    <w:rsid w:val="002A46E2"/>
    <w:rsid w:val="002D210F"/>
    <w:rsid w:val="002D28BD"/>
    <w:rsid w:val="002D2A9D"/>
    <w:rsid w:val="00306BA4"/>
    <w:rsid w:val="0036316A"/>
    <w:rsid w:val="003741A2"/>
    <w:rsid w:val="003A228F"/>
    <w:rsid w:val="003B5A19"/>
    <w:rsid w:val="004863B0"/>
    <w:rsid w:val="004901CD"/>
    <w:rsid w:val="0049675F"/>
    <w:rsid w:val="004A6709"/>
    <w:rsid w:val="004A71B1"/>
    <w:rsid w:val="004B10FD"/>
    <w:rsid w:val="004E7170"/>
    <w:rsid w:val="00515344"/>
    <w:rsid w:val="00522424"/>
    <w:rsid w:val="00584936"/>
    <w:rsid w:val="005950EA"/>
    <w:rsid w:val="005C0FF6"/>
    <w:rsid w:val="005F05CA"/>
    <w:rsid w:val="00632F30"/>
    <w:rsid w:val="00642002"/>
    <w:rsid w:val="00642AFD"/>
    <w:rsid w:val="006B03E9"/>
    <w:rsid w:val="006C07B8"/>
    <w:rsid w:val="006F2EC0"/>
    <w:rsid w:val="006F5C57"/>
    <w:rsid w:val="00737673"/>
    <w:rsid w:val="00775812"/>
    <w:rsid w:val="00791124"/>
    <w:rsid w:val="007926B3"/>
    <w:rsid w:val="007A274D"/>
    <w:rsid w:val="007B3226"/>
    <w:rsid w:val="007B4030"/>
    <w:rsid w:val="007D5206"/>
    <w:rsid w:val="00807143"/>
    <w:rsid w:val="00837BC1"/>
    <w:rsid w:val="00843129"/>
    <w:rsid w:val="008D1CFA"/>
    <w:rsid w:val="008E518E"/>
    <w:rsid w:val="008F001D"/>
    <w:rsid w:val="00915D2C"/>
    <w:rsid w:val="00937C56"/>
    <w:rsid w:val="009532FF"/>
    <w:rsid w:val="009604A4"/>
    <w:rsid w:val="009A17EA"/>
    <w:rsid w:val="009D03FC"/>
    <w:rsid w:val="009D1646"/>
    <w:rsid w:val="009D16F0"/>
    <w:rsid w:val="00A0750F"/>
    <w:rsid w:val="00A231A8"/>
    <w:rsid w:val="00A300C4"/>
    <w:rsid w:val="00A33E7A"/>
    <w:rsid w:val="00A769DD"/>
    <w:rsid w:val="00A968CC"/>
    <w:rsid w:val="00AB1051"/>
    <w:rsid w:val="00AD7489"/>
    <w:rsid w:val="00AF216D"/>
    <w:rsid w:val="00B01720"/>
    <w:rsid w:val="00B10DC4"/>
    <w:rsid w:val="00B21D6F"/>
    <w:rsid w:val="00B33D5D"/>
    <w:rsid w:val="00B35C8E"/>
    <w:rsid w:val="00B41D43"/>
    <w:rsid w:val="00B468B6"/>
    <w:rsid w:val="00B54C5E"/>
    <w:rsid w:val="00B6076B"/>
    <w:rsid w:val="00BA6DC7"/>
    <w:rsid w:val="00BB3A53"/>
    <w:rsid w:val="00BB6650"/>
    <w:rsid w:val="00BC2A15"/>
    <w:rsid w:val="00BC613E"/>
    <w:rsid w:val="00BE43D2"/>
    <w:rsid w:val="00C14EE5"/>
    <w:rsid w:val="00C25E4C"/>
    <w:rsid w:val="00C26544"/>
    <w:rsid w:val="00C63555"/>
    <w:rsid w:val="00C76EBD"/>
    <w:rsid w:val="00CB5A3D"/>
    <w:rsid w:val="00D0178E"/>
    <w:rsid w:val="00D34B9C"/>
    <w:rsid w:val="00D35796"/>
    <w:rsid w:val="00D46A07"/>
    <w:rsid w:val="00D56A9A"/>
    <w:rsid w:val="00D60B2A"/>
    <w:rsid w:val="00D762B7"/>
    <w:rsid w:val="00D9760C"/>
    <w:rsid w:val="00DE212D"/>
    <w:rsid w:val="00DF4675"/>
    <w:rsid w:val="00DF66DF"/>
    <w:rsid w:val="00E25306"/>
    <w:rsid w:val="00E319C8"/>
    <w:rsid w:val="00E623A1"/>
    <w:rsid w:val="00E7299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74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64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74</cp:revision>
  <cp:lastPrinted>2016-03-07T09:51:00Z</cp:lastPrinted>
  <dcterms:created xsi:type="dcterms:W3CDTF">2024-10-07T07:06:00Z</dcterms:created>
  <dcterms:modified xsi:type="dcterms:W3CDTF">2024-10-08T09:09:00Z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