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2520" w14:textId="6BD9DA5A">
      <w:pPr>
        <w:pStyle w:val="P68B1DB1-Kop11"/>
        <w:rPr>
          <w:rFonts w:asciiTheme="minorHAnsi" w:hAnsiTheme="minorHAnsi" w:cstheme="minorHAnsi"/>
        </w:rPr>
      </w:pPr>
      <w:r>
        <w:t xml:space="preserve">Überströmgitter DucoGrille Transfer</w:t>
      </w:r>
    </w:p>
    <w:p w14:paraId="28443CAE" w14:textId="77777777">
      <w:pPr>
        <w:pStyle w:val="Geenafstand"/>
        <w:rPr>
          <w:rFonts w:asciiTheme="minorHAnsi" w:hAnsiTheme="minorHAnsi" w:cstheme="minorHAnsi"/>
        </w:rPr>
      </w:pPr>
    </w:p>
    <w:p w14:paraId="5CD8A305" w14:textId="6CFAFA74">
      <w:pPr>
        <w:pStyle w:val="P68B1DB1-Geenafstand2"/>
        <w:rPr>
          <w:rFonts w:asciiTheme="minorHAnsi" w:hAnsiTheme="minorHAnsi" w:cstheme="minorBid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7DF2DF6A" w14:textId="2C7A7196">
      <w:pPr>
        <w:pStyle w:val="P68B1DB1-Geenafstand3"/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  <w:r>
        <w:rPr>
          <w:color w:val="000000"/>
          <w:sz w:val="23"/>
        </w:rPr>
        <w:t xml:space="preserve">Das Überströmgitter DucoGrille Transfer lässt sich leicht in </w:t>
      </w:r>
      <w:r>
        <w:t xml:space="preserve">Türen und Wände</w:t>
      </w:r>
      <w:r>
        <w:rPr>
          <w:color w:val="000000"/>
          <w:sz w:val="23"/>
        </w:rPr>
        <w:t xml:space="preserve"> einbauen. Das Gitter ist</w:t>
      </w:r>
      <w:r>
        <w:t xml:space="preserve"> mit oder ohne Gegenrahmen</w:t>
      </w:r>
      <w:r>
        <w:rPr>
          <w:color w:val="000000"/>
          <w:sz w:val="23"/>
        </w:rPr>
        <w:t xml:space="preserve"> erhältlich und die Rahmentiefe ist einstellbar. Das DucoGrille Transfer eignet sich hervorragend für </w:t>
      </w:r>
      <w:r>
        <w:t xml:space="preserve">größere Überströmluftvolumen</w:t>
      </w:r>
      <w:r>
        <w:rPr>
          <w:color w:val="000000"/>
          <w:sz w:val="23"/>
        </w:rPr>
        <w:t xml:space="preserve"> zwischen Innenräumen, ist aber auch zwischen Innen- und Außenräumen (z. B. Außentüren) einsetzbar.</w:t>
      </w:r>
    </w:p>
    <w:p w14:paraId="6971D539" w14:textId="77777777">
      <w:pPr>
        <w:pStyle w:val="Geenafstand"/>
        <w:rPr>
          <w:rFonts w:asciiTheme="minorHAnsi" w:hAnsiTheme="minorHAnsi" w:cstheme="minorHAnsi"/>
        </w:rPr>
      </w:pPr>
    </w:p>
    <w:p w14:paraId="4F0DE551" w14:textId="77777777">
      <w:pPr>
        <w:pStyle w:val="P68B1DB1-Kop24"/>
        <w:rPr>
          <w:rFonts w:asciiTheme="minorHAnsi" w:hAnsiTheme="minorHAnsi" w:cstheme="minorHAnsi"/>
        </w:rPr>
      </w:pPr>
      <w:r>
        <w:t>Produktmerkmale:</w:t>
      </w:r>
    </w:p>
    <w:p w14:paraId="56906570" w14:textId="6C05ECF3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Lamellenschritt: 20 mm</w:t>
      </w:r>
    </w:p>
    <w:p w14:paraId="46F29E73" w14:textId="1B0EF4D3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Einbaumaße: 28 - 84 mm</w:t>
      </w:r>
    </w:p>
    <w:p w14:paraId="7C83D4E6" w14:textId="133E22DD">
      <w:pPr>
        <w:pStyle w:val="P68B1DB1-Default6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t xml:space="preserve">Breite: </w:t>
        <w:tab/>
        <w:t xml:space="preserve">Mindestbreite ohne Gegenrahmen 190 mm</w:t>
      </w:r>
    </w:p>
    <w:p w14:paraId="39434AD7" w14:textId="150657C3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Mindestbreite mit Gegenrahmen 200 mm</w:t>
      </w:r>
    </w:p>
    <w:p w14:paraId="050F923E" w14:textId="4E157A3F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Maximale Breite ohne Gegenrahmen 790 mm</w:t>
      </w:r>
    </w:p>
    <w:p w14:paraId="44E7895D" w14:textId="73DB5E55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Maximale Breite mit Gegenrahmen 800 mm</w:t>
      </w:r>
    </w:p>
    <w:p w14:paraId="63CC0718" w14:textId="057B29BE">
      <w:pPr>
        <w:pStyle w:val="P68B1DB1-Default6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t xml:space="preserve">Höhe: </w:t>
        <w:tab/>
        <w:t xml:space="preserve">Mindesthöhe ohne Gegenrahmen 90 mm</w:t>
      </w:r>
    </w:p>
    <w:p w14:paraId="72AC9424" w14:textId="52E7DF49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Mindesthöhe mit Gegenrahmen 100 mm</w:t>
      </w:r>
    </w:p>
    <w:p w14:paraId="163F6304" w14:textId="33715310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Maximale Höhe ohne Gegenrahmen 390 mm</w:t>
      </w:r>
    </w:p>
    <w:p w14:paraId="18C04C9D" w14:textId="65064363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Maximale Höhe mit Gegenrahmen 400 mm</w:t>
      </w:r>
    </w:p>
    <w:p w14:paraId="20CA3448" w14:textId="3AEC98DE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Visuell freier Durchlass: 95 %</w:t>
      </w:r>
    </w:p>
    <w:p w14:paraId="0844672E" w14:textId="4ED4221C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Physischer freier Durchlass: 34 %</w:t>
      </w:r>
    </w:p>
    <w:p w14:paraId="43370BF4" w14:textId="77777777">
      <w:pPr>
        <w:pStyle w:val="Geenafstand"/>
        <w:ind w:left="720"/>
        <w:rPr>
          <w:rFonts w:asciiTheme="minorHAnsi" w:hAnsiTheme="minorHAnsi" w:cstheme="minorHAnsi"/>
        </w:rPr>
      </w:pPr>
    </w:p>
    <w:p w14:paraId="6F009C5E" w14:textId="77777777">
      <w:pPr>
        <w:pStyle w:val="P68B1DB1-Kop24"/>
        <w:rPr>
          <w:rFonts w:asciiTheme="minorHAnsi" w:hAnsiTheme="minorHAnsi" w:cstheme="minorHAnsi"/>
        </w:rPr>
      </w:pPr>
      <w:r>
        <w:t>Oberflächenbehandlung:</w:t>
      </w:r>
    </w:p>
    <w:p w14:paraId="057BAAE7" w14:textId="77777777">
      <w:pPr>
        <w:pStyle w:val="P68B1DB1-Geenafstand5"/>
        <w:numPr>
          <w:ilvl w:val="0"/>
          <w:numId w:val="16"/>
        </w:numPr>
        <w:rPr>
          <w:rFonts w:asciiTheme="minorHAnsi" w:hAnsiTheme="minorHAnsi" w:cstheme="minorHAnsi"/>
        </w:rPr>
      </w:pPr>
      <w:r>
        <w:t xml:space="preserve">Eloxierung: gemäß Qualanod, Schichtdicke 15-20µm, Standard Naturfarbe (farblose Eloxierung)</w:t>
      </w:r>
    </w:p>
    <w:p w14:paraId="745810FE" w14:textId="17EC7E84">
      <w:pPr>
        <w:pStyle w:val="P68B1DB1-Geenafstand5"/>
        <w:numPr>
          <w:ilvl w:val="0"/>
          <w:numId w:val="16"/>
        </w:numPr>
        <w:rPr>
          <w:rFonts w:asciiTheme="minorHAnsi" w:hAnsiTheme="minorHAnsi" w:cstheme="minorHAnsi" w:eastAsiaTheme="minorHAnsi"/>
          <w:color w:val="000000"/>
        </w:rPr>
      </w:pPr>
      <w:r>
        <w:t xml:space="preserve">Pulverbeschichtung: nach Qualicoat Seaside Typ A, minimale mittlere Schichtdicke 60µm, Standard RAL Farben</w:t>
      </w:r>
    </w:p>
    <w:p w14:paraId="7190DF80" w14:textId="66BE4313">
      <w:pPr>
        <w:pStyle w:val="P68B1DB1-Geenafstand5"/>
        <w:ind w:left="360" w:right="-1"/>
        <w:rPr>
          <w:rFonts w:asciiTheme="minorHAnsi" w:hAnsiTheme="minorHAnsi" w:cstheme="minorHAnsi"/>
        </w:rPr>
      </w:pPr>
      <w:r>
        <w:t xml:space="preserve">Auf Anfrage: andere Schichtdicken, Eloxalfarben und Glanzgrade, Strukturlacke und spezielle Pulverlacke.</w:t>
      </w:r>
    </w:p>
    <w:p w14:paraId="5DDB1BD2" w14:textId="77777777">
      <w:pPr>
        <w:pStyle w:val="Geenafstand"/>
        <w:rPr>
          <w:rFonts w:asciiTheme="minorHAnsi" w:hAnsiTheme="minorHAnsi" w:cstheme="minorHAnsi"/>
          <w:highlight w:val="yellow"/>
        </w:rPr>
      </w:pPr>
    </w:p>
    <w:p w14:paraId="39C73DE7" w14:textId="77777777">
      <w:pPr>
        <w:pStyle w:val="P68B1DB1-Kop24"/>
        <w:rPr>
          <w:rFonts w:asciiTheme="minorHAnsi" w:hAnsiTheme="minorHAnsi" w:cstheme="minorHAnsi"/>
        </w:rPr>
      </w:pPr>
      <w:r>
        <w:t xml:space="preserve">Funktionelle Merkmale:</w:t>
      </w:r>
    </w:p>
    <w:p w14:paraId="2B9E8F00" w14:textId="77777777">
      <w:pPr>
        <w:pStyle w:val="P68B1DB1-Kop37"/>
        <w:numPr>
          <w:ilvl w:val="0"/>
          <w:numId w:val="17"/>
        </w:numPr>
        <w:rPr>
          <w:rFonts w:asciiTheme="minorHAnsi" w:hAnsiTheme="minorHAnsi" w:cstheme="minorHAnsi"/>
        </w:rPr>
      </w:pPr>
      <w:r>
        <w:t>Durchflussleistung:</w:t>
      </w:r>
    </w:p>
    <w:p w14:paraId="7CE0C2CC" w14:textId="38D8CD1F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K-Faktor Zuluft: 41,62</w:t>
      </w:r>
    </w:p>
    <w:p w14:paraId="559DF71B" w14:textId="26C9C3EE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K-Faktor Abluft: 41,62</w:t>
      </w:r>
    </w:p>
    <w:p w14:paraId="281DAF56" w14:textId="6DE75CAB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>C</w:t>
      </w:r>
      <w:r>
        <w:rPr>
          <w:vertAlign w:val="subscript"/>
        </w:rPr>
        <w:t>e</w:t>
      </w:r>
      <w:r>
        <w:t xml:space="preserve">-Koeffizient: 0,155</w:t>
      </w:r>
    </w:p>
    <w:p w14:paraId="15DC38A2" w14:textId="018C69F8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>C</w:t>
      </w:r>
      <w:r>
        <w:rPr>
          <w:vertAlign w:val="subscript"/>
        </w:rPr>
        <w:t>d</w:t>
      </w:r>
      <w:r>
        <w:t xml:space="preserve">-Koeffizient: 0,155</w:t>
      </w:r>
    </w:p>
    <w:p w14:paraId="6195A187" w14:textId="77777777">
      <w:pPr>
        <w:pStyle w:val="Geenafstand"/>
        <w:rPr>
          <w:rFonts w:cs="Tahoma"/>
        </w:rPr>
      </w:pPr>
    </w:p>
    <w:p w14:paraId="4462ABBB" w14:textId="77777777">
      <w:pPr>
        <w:pStyle w:val="Kop3"/>
        <w:numPr>
          <w:ilvl w:val="0"/>
          <w:numId w:val="17"/>
        </w:numPr>
      </w:pPr>
      <w:r>
        <w:t>Wasserdichtigkeit:</w:t>
      </w:r>
    </w:p>
    <w:p w14:paraId="18631029" w14:textId="4EBAE6A9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0,0m/s: Klasse A</w:t>
      </w:r>
    </w:p>
    <w:p w14:paraId="2B6FA599" w14:textId="7F556411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7530BAF7" w14:textId="77777777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69819482" w14:textId="76E5F2C6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2B2B25F4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315BDC9B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2C2AED6B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05E2E3D0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45B81A7E" w14:textId="7FEBBDC1">
      <w:pPr>
        <w:spacing w:after="200" w:line="276" w:lineRule="auto"/>
        <w:rPr>
          <w:rFonts w:cstheme="minorHAnsi" w:eastAsia="Calibri"/>
          <w:sz w:val="22"/>
        </w:rPr>
      </w:pPr>
    </w:p>
    <w:p w14:paraId="15BE4E81" w14:textId="77777777">
      <w:pPr>
        <w:pStyle w:val="P68B1DB1-Kop24"/>
        <w:rPr>
          <w:rFonts w:asciiTheme="minorHAnsi" w:hAnsiTheme="minorHAnsi" w:cstheme="minorHAnsi"/>
        </w:rPr>
      </w:pPr>
      <w:r>
        <w:t xml:space="preserve">Entspricht den Normen oder wurde nach diesen getestet:</w:t>
      </w:r>
    </w:p>
    <w:p w14:paraId="40D6720C" w14:textId="2109C83E">
      <w:pPr>
        <w:pStyle w:val="P68B1DB1-bestektekst9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>
        <w:t xml:space="preserve">Qualicoat Seaside Typ A (bei lackierter Ausführung)</w:t>
      </w:r>
    </w:p>
    <w:p w14:paraId="7DE1FF43" w14:textId="3C298CC2">
      <w:pPr>
        <w:pStyle w:val="P68B1DB1-bestektekst9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>
        <w:t xml:space="preserve">Qualanod (bei eloxierter Ausführung)</w:t>
      </w:r>
    </w:p>
    <w:p w14:paraId="620AA36D" w14:textId="3E28BEB9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573 - EN AW-6063 T66 und EN AW-6060 T66: Aluminiumlegierung &amp; Härtung</w:t>
      </w:r>
    </w:p>
    <w:p w14:paraId="4D2C70A0" w14:textId="6DBE7203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13030: Wasserbeständigkeit und Bestimmung der Ce- und Cd-Koeffizienten</w:t>
      </w:r>
    </w:p>
    <w:p w14:paraId="3CE996C6" w14:textId="0490AD3B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ISO 10140: Akustische Messungen (für akustische Produkte)</w:t>
      </w:r>
    </w:p>
    <w:p w14:paraId="347D7C7D" w14:textId="77777777">
      <w:pPr>
        <w:pStyle w:val="Geenafstand"/>
        <w:rPr>
          <w:rFonts w:asciiTheme="minorHAnsi" w:hAnsiTheme="minorHAnsi" w:cstheme="minorHAnsi"/>
        </w:rPr>
      </w:pPr>
    </w:p>
    <w:p w14:paraId="67778EF1" w14:textId="1609200E">
      <w:pPr>
        <w:pStyle w:val="Geenafstand"/>
        <w:jc w:val="center"/>
        <w:rPr>
          <w:rFonts w:asciiTheme="minorHAnsi" w:hAnsiTheme="minorHAnsi" w:cstheme="minorHAnsi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E595C" w14:textId="77777777">
      <w:r>
        <w:separator/>
      </w:r>
    </w:p>
  </w:endnote>
  <w:endnote w:type="continuationSeparator" w:id="0">
    <w:p w14:paraId="305F51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034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2D94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1D4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00E4" w14:textId="77777777">
      <w:r>
        <w:separator/>
      </w:r>
    </w:p>
  </w:footnote>
  <w:footnote w:type="continuationSeparator" w:id="0">
    <w:p w14:paraId="52823D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CAEC" w14:textId="77777777">
    <w:pPr>
      <w:pStyle w:val="Koptekst"/>
    </w:pPr>
    <w:r>
      <w:pict w14:anchorId="3F3FF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786C" w14:textId="77777777">
    <w:pPr>
      <w:pStyle w:val="Koptekst"/>
    </w:pPr>
    <w:r>
      <w:pict w14:anchorId="154B6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19B1" w14:textId="77777777">
    <w:pPr>
      <w:pStyle w:val="Koptekst"/>
    </w:pPr>
    <w:r>
      <w:pict w14:anchorId="09CD1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FC608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E7CC0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08475">
    <w:abstractNumId w:val="19"/>
  </w:num>
  <w:num w:numId="2" w16cid:durableId="331185013">
    <w:abstractNumId w:val="15"/>
  </w:num>
  <w:num w:numId="3" w16cid:durableId="2072387383">
    <w:abstractNumId w:val="10"/>
  </w:num>
  <w:num w:numId="4" w16cid:durableId="1434403044">
    <w:abstractNumId w:val="6"/>
  </w:num>
  <w:num w:numId="5" w16cid:durableId="853959137">
    <w:abstractNumId w:val="5"/>
  </w:num>
  <w:num w:numId="6" w16cid:durableId="1021056116">
    <w:abstractNumId w:val="9"/>
  </w:num>
  <w:num w:numId="7" w16cid:durableId="1218784510">
    <w:abstractNumId w:val="4"/>
  </w:num>
  <w:num w:numId="8" w16cid:durableId="1628970926">
    <w:abstractNumId w:val="3"/>
  </w:num>
  <w:num w:numId="9" w16cid:durableId="1456872066">
    <w:abstractNumId w:val="2"/>
  </w:num>
  <w:num w:numId="10" w16cid:durableId="353326">
    <w:abstractNumId w:val="1"/>
  </w:num>
  <w:num w:numId="11" w16cid:durableId="1732532105">
    <w:abstractNumId w:val="0"/>
  </w:num>
  <w:num w:numId="12" w16cid:durableId="780999638">
    <w:abstractNumId w:val="7"/>
  </w:num>
  <w:num w:numId="13" w16cid:durableId="2050564720">
    <w:abstractNumId w:val="8"/>
  </w:num>
  <w:num w:numId="14" w16cid:durableId="470249952">
    <w:abstractNumId w:val="18"/>
  </w:num>
  <w:num w:numId="15" w16cid:durableId="214395458">
    <w:abstractNumId w:val="11"/>
  </w:num>
  <w:num w:numId="16" w16cid:durableId="738097262">
    <w:abstractNumId w:val="17"/>
  </w:num>
  <w:num w:numId="17" w16cid:durableId="1377508913">
    <w:abstractNumId w:val="13"/>
  </w:num>
  <w:num w:numId="18" w16cid:durableId="1613976821">
    <w:abstractNumId w:val="16"/>
  </w:num>
  <w:num w:numId="19" w16cid:durableId="1155804458">
    <w:abstractNumId w:val="12"/>
  </w:num>
  <w:num w:numId="20" w16cid:durableId="12031321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0C8A"/>
    <w:rsid w:val="00013FD5"/>
    <w:rsid w:val="000974F5"/>
    <w:rsid w:val="000A4893"/>
    <w:rsid w:val="000B45E7"/>
    <w:rsid w:val="000C339E"/>
    <w:rsid w:val="000D4094"/>
    <w:rsid w:val="001470E4"/>
    <w:rsid w:val="00153EEE"/>
    <w:rsid w:val="0016107C"/>
    <w:rsid w:val="001670F4"/>
    <w:rsid w:val="001C548A"/>
    <w:rsid w:val="002047D0"/>
    <w:rsid w:val="00222F29"/>
    <w:rsid w:val="00223D90"/>
    <w:rsid w:val="00227108"/>
    <w:rsid w:val="002A46E2"/>
    <w:rsid w:val="002D28BD"/>
    <w:rsid w:val="002D4220"/>
    <w:rsid w:val="002E030F"/>
    <w:rsid w:val="002F4432"/>
    <w:rsid w:val="00315892"/>
    <w:rsid w:val="003214E7"/>
    <w:rsid w:val="00393524"/>
    <w:rsid w:val="003C3476"/>
    <w:rsid w:val="003E502D"/>
    <w:rsid w:val="004772FD"/>
    <w:rsid w:val="00485348"/>
    <w:rsid w:val="004929D2"/>
    <w:rsid w:val="004A6709"/>
    <w:rsid w:val="004B10FD"/>
    <w:rsid w:val="004C7F31"/>
    <w:rsid w:val="004D36D6"/>
    <w:rsid w:val="004E6DC2"/>
    <w:rsid w:val="00515344"/>
    <w:rsid w:val="00522424"/>
    <w:rsid w:val="00527056"/>
    <w:rsid w:val="0054112F"/>
    <w:rsid w:val="005426DD"/>
    <w:rsid w:val="00584936"/>
    <w:rsid w:val="00592CD5"/>
    <w:rsid w:val="0059355D"/>
    <w:rsid w:val="005A1F6F"/>
    <w:rsid w:val="005F05CA"/>
    <w:rsid w:val="0062140F"/>
    <w:rsid w:val="006254CA"/>
    <w:rsid w:val="00632DD0"/>
    <w:rsid w:val="006752D5"/>
    <w:rsid w:val="006B03E9"/>
    <w:rsid w:val="006C3D0E"/>
    <w:rsid w:val="006E31C4"/>
    <w:rsid w:val="00722004"/>
    <w:rsid w:val="00737673"/>
    <w:rsid w:val="007577C5"/>
    <w:rsid w:val="00787799"/>
    <w:rsid w:val="007A06F7"/>
    <w:rsid w:val="007B4030"/>
    <w:rsid w:val="007B4D71"/>
    <w:rsid w:val="007C43E2"/>
    <w:rsid w:val="007D5206"/>
    <w:rsid w:val="00816D7F"/>
    <w:rsid w:val="008D1CFA"/>
    <w:rsid w:val="008F1E18"/>
    <w:rsid w:val="009A17EA"/>
    <w:rsid w:val="009A621A"/>
    <w:rsid w:val="009F7E50"/>
    <w:rsid w:val="00A05C64"/>
    <w:rsid w:val="00A231A8"/>
    <w:rsid w:val="00A677A0"/>
    <w:rsid w:val="00A85382"/>
    <w:rsid w:val="00A9420D"/>
    <w:rsid w:val="00B10DC4"/>
    <w:rsid w:val="00B20205"/>
    <w:rsid w:val="00B21D6F"/>
    <w:rsid w:val="00B33D5D"/>
    <w:rsid w:val="00B550CB"/>
    <w:rsid w:val="00BC2A15"/>
    <w:rsid w:val="00C11DFF"/>
    <w:rsid w:val="00C24E33"/>
    <w:rsid w:val="00CA691B"/>
    <w:rsid w:val="00CB5A3D"/>
    <w:rsid w:val="00CF413A"/>
    <w:rsid w:val="00D0178E"/>
    <w:rsid w:val="00D34B9C"/>
    <w:rsid w:val="00D44C0E"/>
    <w:rsid w:val="00D56D87"/>
    <w:rsid w:val="00D648C9"/>
    <w:rsid w:val="00D64E46"/>
    <w:rsid w:val="00D73F0F"/>
    <w:rsid w:val="00DA7063"/>
    <w:rsid w:val="00DD4C07"/>
    <w:rsid w:val="00DF1184"/>
    <w:rsid w:val="00E501E2"/>
    <w:rsid w:val="00E545C3"/>
    <w:rsid w:val="00E623A1"/>
    <w:rsid w:val="00E81B2C"/>
    <w:rsid w:val="00E83F07"/>
    <w:rsid w:val="00EB52A9"/>
    <w:rsid w:val="00ED2E1C"/>
    <w:rsid w:val="00F01670"/>
    <w:rsid w:val="00F12C0E"/>
    <w:rsid w:val="00F15A8B"/>
    <w:rsid w:val="00F61016"/>
    <w:rsid w:val="00FA6FBD"/>
    <w:rsid w:val="7EBBA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19BC92"/>
  <w15:docId w15:val="{099D2C65-DA30-4B34-BF38-85747A5C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character" w:styleId="Zwaar">
    <w:name w:val="Strong"/>
    <w:basedOn w:val="Standaardalinea-lettertype"/>
    <w:uiPriority w:val="22"/>
    <w:qFormat/>
    <w:rsid w:val="00223D90"/>
    <w:rPr>
      <w:b/>
    </w:rPr>
  </w:style>
  <w:style w:type="paragraph" w:customStyle="1" w:styleId="Default">
    <w:name w:val="Default"/>
    <w:rsid w:val="00527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paragraph" w:styleId="P68B1DB1-Kop11">
    <w:name w:val="P68B1DB1-Kop11"/>
    <w:basedOn w:val="Kop1"/>
    <w:rPr>
      <w:rFonts w:asciiTheme="minorHAnsi" w:hAnsiTheme="minorHAnsi" w:cstheme="minorHAnsi"/>
    </w:rPr>
  </w:style>
  <w:style w:type="paragraph" w:styleId="P68B1DB1-Geenafstand2">
    <w:name w:val="P68B1DB1-Geenafstand2"/>
    <w:basedOn w:val="Geenafstand"/>
    <w:rPr>
      <w:rFonts w:asciiTheme="minorHAnsi" w:hAnsiTheme="minorHAnsi" w:cstheme="minorBid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asciiTheme="minorHAnsi" w:hAnsiTheme="minorHAnsi" w:cstheme="minorHAnsi"/>
      <w:shd w:val="clear" w:color="auto" w:fill="FFFFFF"/>
    </w:rPr>
  </w:style>
  <w:style w:type="paragraph" w:styleId="P68B1DB1-Kop24">
    <w:name w:val="P68B1DB1-Kop24"/>
    <w:basedOn w:val="Kop2"/>
    <w:rPr>
      <w:rFonts w:asciiTheme="minorHAnsi" w:hAnsiTheme="minorHAnsi" w:cstheme="minorHAnsi"/>
    </w:rPr>
  </w:style>
  <w:style w:type="paragraph" w:styleId="P68B1DB1-Geenafstand5">
    <w:name w:val="P68B1DB1-Geenafstand5"/>
    <w:basedOn w:val="Geenafstand"/>
    <w:rPr>
      <w:rFonts w:asciiTheme="minorHAnsi" w:hAnsiTheme="minorHAnsi" w:cstheme="minorHAnsi"/>
    </w:rPr>
  </w:style>
  <w:style w:type="paragraph" w:styleId="P68B1DB1-Default6">
    <w:name w:val="P68B1DB1-Default6"/>
    <w:basedOn w:val="Default"/>
    <w:rPr>
      <w:rFonts w:asciiTheme="minorHAnsi" w:hAnsiTheme="minorHAnsi" w:cstheme="minorHAnsi"/>
      <w:sz w:val="22"/>
    </w:rPr>
  </w:style>
  <w:style w:type="paragraph" w:styleId="P68B1DB1-Kop37">
    <w:name w:val="P68B1DB1-Kop37"/>
    <w:basedOn w:val="Kop3"/>
    <w:rPr>
      <w:rFonts w:asciiTheme="minorHAnsi" w:hAnsiTheme="minorHAnsi" w:cstheme="minorHAnsi"/>
    </w:rPr>
  </w:style>
  <w:style w:type="paragraph" w:styleId="P68B1DB1-Geenafstand8">
    <w:name w:val="P68B1DB1-Geenafstand8"/>
    <w:basedOn w:val="Geenafstand"/>
    <w:rPr>
      <w:rFonts w:cs="Tahoma"/>
    </w:rPr>
  </w:style>
  <w:style w:type="paragraph" w:styleId="P68B1DB1-bestektekst9">
    <w:name w:val="P68B1DB1-bestektekst9"/>
    <w:basedOn w:val="bestektekst"/>
    <w:rPr>
      <w:rFonts w:asciiTheme="minorHAnsi" w:hAnsiTheme="minorHAnsi"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27031F-A55B-4916-A2BB-F634432A2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2B4CF-A9FB-4F7A-A07F-CA4B152FB573}"/>
</file>

<file path=customXml/itemProps3.xml><?xml version="1.0" encoding="utf-8"?>
<ds:datastoreItem xmlns:ds="http://schemas.openxmlformats.org/officeDocument/2006/customXml" ds:itemID="{F7EB2C9D-1347-4FD2-A780-44743D3E9A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280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</dc:creator>
  <cp:lastModifiedBy>Geert Louwyck</cp:lastModifiedBy>
  <cp:revision>11</cp:revision>
  <cp:lastPrinted>2016-09-29T11:57:00Z</cp:lastPrinted>
  <dcterms:created xsi:type="dcterms:W3CDTF">2022-10-24T09:53:00Z</dcterms:created>
  <dcterms:modified xsi:type="dcterms:W3CDTF">2022-12-22T09:46:00Z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