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D78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Onder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E60D9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E60D9B">
        <w:rPr>
          <w:rFonts w:cs="Calibri"/>
          <w:color w:val="000000"/>
          <w:sz w:val="23"/>
          <w:szCs w:val="23"/>
          <w:shd w:val="clear" w:color="auto" w:fill="FFFFFF"/>
        </w:rPr>
        <w:t xml:space="preserve">Permanent extern zonweringsysteem. De aluminium lamellen van het type 100 D worden onder een vaste hellingshoek </w:t>
      </w:r>
      <w:r w:rsidR="002D7838">
        <w:rPr>
          <w:rFonts w:cs="Calibri"/>
          <w:color w:val="000000"/>
          <w:sz w:val="23"/>
          <w:szCs w:val="23"/>
          <w:shd w:val="clear" w:color="auto" w:fill="FFFFFF"/>
        </w:rPr>
        <w:t>onder</w:t>
      </w:r>
      <w:r w:rsidRPr="00E60D9B">
        <w:rPr>
          <w:rFonts w:cs="Calibri"/>
          <w:color w:val="000000"/>
          <w:sz w:val="23"/>
          <w:szCs w:val="23"/>
          <w:shd w:val="clear" w:color="auto" w:fill="FFFFFF"/>
        </w:rPr>
        <w:t xml:space="preserve"> de draagprofielen bevestigd. Voor de afwerking zijn er verschillende sierprofielen. Afhankelijk van de </w:t>
      </w:r>
      <w:proofErr w:type="spellStart"/>
      <w:r w:rsidRPr="00E60D9B">
        <w:rPr>
          <w:rFonts w:cs="Calibri"/>
          <w:color w:val="000000"/>
          <w:sz w:val="23"/>
          <w:szCs w:val="23"/>
          <w:shd w:val="clear" w:color="auto" w:fill="FFFFFF"/>
        </w:rPr>
        <w:t>uitkraging</w:t>
      </w:r>
      <w:proofErr w:type="spellEnd"/>
      <w:r w:rsidRPr="00E60D9B">
        <w:rPr>
          <w:rFonts w:cs="Calibri"/>
          <w:color w:val="000000"/>
          <w:sz w:val="23"/>
          <w:szCs w:val="23"/>
          <w:shd w:val="clear" w:color="auto" w:fill="FFFFFF"/>
        </w:rPr>
        <w:t xml:space="preserve"> worden de systemen niet alleen met muurplaten, maar ook met trekstangen aan de gevel bevestigd.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D-vorm</w:t>
      </w:r>
      <w:proofErr w:type="spellEnd"/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0449D0" w:rsidRPr="00DC4D3D" w:rsidRDefault="000449D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449D0" w:rsidRPr="00DC4D3D" w:rsidRDefault="000449D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Onder</w:t>
      </w:r>
      <w:r w:rsidR="0026604F">
        <w:rPr>
          <w:lang w:eastAsia="nl-NL"/>
        </w:rPr>
        <w:t>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0449D0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0449D0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E26804" w:rsidRPr="00535CEE" w:rsidRDefault="00E26804" w:rsidP="00E26804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175 vlak</w:t>
      </w:r>
    </w:p>
    <w:p w:rsidR="00E26804" w:rsidRPr="00535CEE" w:rsidRDefault="00E26804" w:rsidP="00E26804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150 vlak</w:t>
      </w:r>
    </w:p>
    <w:p w:rsidR="00E26804" w:rsidRPr="00535CEE" w:rsidRDefault="00E26804" w:rsidP="00E26804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90 </w:t>
      </w:r>
      <w:r w:rsidR="00AD511F">
        <w:rPr>
          <w:rFonts w:ascii="Calibri" w:eastAsia="Calibri" w:hAnsi="Calibri" w:cs="Tahoma"/>
          <w:sz w:val="22"/>
          <w:szCs w:val="22"/>
          <w:lang w:eastAsia="en-US"/>
        </w:rPr>
        <w:t xml:space="preserve">, 150 of 175 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mm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404BAD">
        <w:rPr>
          <w:rFonts w:ascii="Calibri" w:eastAsia="Calibri" w:hAnsi="Calibri" w:cs="Tahoma"/>
          <w:sz w:val="22"/>
          <w:szCs w:val="22"/>
          <w:lang w:eastAsia="en-US"/>
        </w:rPr>
        <w:t>2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Default="00535CEE" w:rsidP="00535CEE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404BAD" w:rsidRDefault="00404BAD" w:rsidP="003D3931">
      <w:pPr>
        <w:pStyle w:val="Kop3"/>
        <w:numPr>
          <w:ilvl w:val="0"/>
          <w:numId w:val="17"/>
        </w:numPr>
        <w:ind w:hanging="357"/>
      </w:pPr>
      <w:r>
        <w:t>Zonder</w:t>
      </w:r>
      <w:r w:rsidRPr="00D87C2A">
        <w:t xml:space="preserve"> trekstang:</w:t>
      </w:r>
    </w:p>
    <w:p w:rsidR="00404BAD" w:rsidRPr="00404BAD" w:rsidRDefault="00404BAD" w:rsidP="003D3931">
      <w:pPr>
        <w:pStyle w:val="Lijstalinea"/>
        <w:numPr>
          <w:ilvl w:val="0"/>
          <w:numId w:val="37"/>
        </w:numPr>
        <w:spacing w:after="0"/>
        <w:ind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404BAD" w:rsidRPr="00535CEE" w:rsidRDefault="00404BAD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:rsidR="00535CEE" w:rsidRDefault="00535CEE" w:rsidP="003D3931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404BAD" w:rsidRPr="003D3931" w:rsidRDefault="00404BAD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Standaard verkrijgbaar</w:t>
      </w:r>
    </w:p>
    <w:p w:rsidR="000449D0" w:rsidRDefault="000449D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E779D">
    <w:pPr>
      <w:pStyle w:val="Koptekst"/>
    </w:pPr>
    <w:r w:rsidRPr="00DE779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E779D">
    <w:pPr>
      <w:pStyle w:val="Koptekst"/>
    </w:pPr>
    <w:r w:rsidRPr="00DE779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E779D">
    <w:pPr>
      <w:pStyle w:val="Koptekst"/>
    </w:pPr>
    <w:r w:rsidRPr="00DE779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49D0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A17EA"/>
    <w:rsid w:val="00A231A8"/>
    <w:rsid w:val="00A63904"/>
    <w:rsid w:val="00A70208"/>
    <w:rsid w:val="00AB592C"/>
    <w:rsid w:val="00AD511F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87C2A"/>
    <w:rsid w:val="00DA7063"/>
    <w:rsid w:val="00DB6740"/>
    <w:rsid w:val="00DC4D3D"/>
    <w:rsid w:val="00DE63F9"/>
    <w:rsid w:val="00DE779D"/>
    <w:rsid w:val="00E26804"/>
    <w:rsid w:val="00E60D9B"/>
    <w:rsid w:val="00E623A1"/>
    <w:rsid w:val="00E63F06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10</cp:revision>
  <cp:lastPrinted>2016-03-07T09:51:00Z</cp:lastPrinted>
  <dcterms:created xsi:type="dcterms:W3CDTF">2016-10-24T08:49:00Z</dcterms:created>
  <dcterms:modified xsi:type="dcterms:W3CDTF">2016-10-25T08:10:00Z</dcterms:modified>
</cp:coreProperties>
</file>